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9E9" w:rsidRPr="00F15107" w:rsidRDefault="00D479E9" w:rsidP="00D479E9">
      <w:pPr>
        <w:pStyle w:val="afb"/>
        <w:spacing w:before="120" w:afterLines="50" w:after="120"/>
        <w:ind w:left="2270" w:hangingChars="942" w:hanging="2270"/>
        <w:rPr>
          <w:rFonts w:ascii="Arial" w:hAnsi="Arial" w:cs="Arial"/>
          <w:bCs/>
          <w:lang w:val="en-US"/>
        </w:rPr>
      </w:pPr>
      <w:bookmarkStart w:id="0" w:name="Title"/>
      <w:bookmarkEnd w:id="0"/>
      <w:r w:rsidRPr="00F15107">
        <w:rPr>
          <w:rFonts w:ascii="Arial" w:hAnsi="Arial" w:cs="Arial"/>
          <w:bCs/>
          <w:lang w:val="en-US"/>
        </w:rPr>
        <w:t>3</w:t>
      </w:r>
      <w:r w:rsidR="00F413F7">
        <w:rPr>
          <w:rFonts w:ascii="Arial" w:hAnsi="Arial" w:cs="Arial"/>
          <w:bCs/>
          <w:lang w:val="en-US"/>
        </w:rPr>
        <w:t xml:space="preserve">GPP TSG-RAN WG4 Meeting # </w:t>
      </w:r>
      <w:r w:rsidR="00F413F7">
        <w:rPr>
          <w:rFonts w:ascii="Arial" w:hAnsi="Arial" w:cs="Arial" w:hint="eastAsia"/>
          <w:bCs/>
          <w:lang w:val="en-US"/>
        </w:rPr>
        <w:t>100</w:t>
      </w:r>
      <w:r w:rsidRPr="00F15107">
        <w:rPr>
          <w:rFonts w:ascii="Arial" w:hAnsi="Arial" w:cs="Arial"/>
          <w:bCs/>
          <w:lang w:val="en-US"/>
        </w:rPr>
        <w:t>-e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Pr="00F15107">
        <w:rPr>
          <w:rFonts w:ascii="Arial" w:hAnsi="Arial" w:cs="Arial"/>
          <w:bCs/>
          <w:lang w:val="en-US"/>
        </w:rPr>
        <w:t>R4-21</w:t>
      </w:r>
      <w:r w:rsidR="00AA5781">
        <w:rPr>
          <w:rFonts w:ascii="Arial" w:hAnsi="Arial" w:cs="Arial" w:hint="eastAsia"/>
          <w:bCs/>
          <w:lang w:val="en-US"/>
        </w:rPr>
        <w:t>11944</w:t>
      </w:r>
    </w:p>
    <w:p w:rsidR="00D479E9" w:rsidRPr="00F15107" w:rsidRDefault="00D479E9" w:rsidP="00D479E9">
      <w:pPr>
        <w:pStyle w:val="afb"/>
        <w:spacing w:before="120" w:afterLines="50" w:after="120"/>
        <w:ind w:left="2270" w:hangingChars="942" w:hanging="2270"/>
        <w:rPr>
          <w:rFonts w:ascii="Arial" w:hAnsi="Arial" w:cs="Arial"/>
          <w:bCs/>
          <w:lang w:val="en-US"/>
        </w:rPr>
      </w:pPr>
      <w:r w:rsidRPr="00F15107">
        <w:rPr>
          <w:rFonts w:ascii="Arial" w:hAnsi="Arial" w:cs="Arial"/>
          <w:bCs/>
          <w:lang w:val="en-US"/>
        </w:rPr>
        <w:t xml:space="preserve">Electronic Meeting, </w:t>
      </w:r>
      <w:r w:rsidR="00F413F7">
        <w:rPr>
          <w:rFonts w:ascii="Arial" w:hAnsi="Arial" w:cs="Arial" w:hint="eastAsia"/>
          <w:bCs/>
          <w:lang w:val="en-US"/>
        </w:rPr>
        <w:t>August</w:t>
      </w:r>
      <w:r w:rsidR="00F413F7">
        <w:rPr>
          <w:rFonts w:ascii="Arial" w:hAnsi="Arial" w:cs="Arial"/>
          <w:bCs/>
          <w:lang w:val="en-US"/>
        </w:rPr>
        <w:t>. 1</w:t>
      </w:r>
      <w:r w:rsidR="00F413F7">
        <w:rPr>
          <w:rFonts w:ascii="Arial" w:hAnsi="Arial" w:cs="Arial" w:hint="eastAsia"/>
          <w:bCs/>
          <w:lang w:val="en-US"/>
        </w:rPr>
        <w:t>6</w:t>
      </w:r>
      <w:r w:rsidRPr="00F15107">
        <w:rPr>
          <w:rFonts w:ascii="Arial" w:hAnsi="Arial" w:cs="Arial"/>
          <w:bCs/>
          <w:lang w:val="en-US"/>
        </w:rPr>
        <w:t>-27, 2021</w:t>
      </w:r>
      <w:bookmarkStart w:id="1" w:name="_GoBack"/>
      <w:bookmarkEnd w:id="1"/>
    </w:p>
    <w:p w:rsidR="00D479E9" w:rsidRPr="00856044" w:rsidRDefault="00D479E9" w:rsidP="002D056F">
      <w:pPr>
        <w:pStyle w:val="afb"/>
        <w:rPr>
          <w:rFonts w:ascii="Arial" w:hAnsi="Arial" w:cs="Arial"/>
          <w:bCs/>
          <w:szCs w:val="24"/>
          <w:lang w:val="en-US"/>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F413F7">
        <w:rPr>
          <w:rFonts w:ascii="Arial" w:hAnsi="Arial" w:cs="Arial" w:hint="eastAsia"/>
        </w:rPr>
        <w:t>On</w:t>
      </w:r>
      <w:r w:rsidR="00B71F1C" w:rsidRPr="00B7762E">
        <w:rPr>
          <w:rFonts w:ascii="Arial" w:hAnsi="Arial" w:cs="Arial"/>
        </w:rPr>
        <w:t xml:space="preserve"> </w:t>
      </w:r>
      <w:r w:rsidR="00876F5F">
        <w:rPr>
          <w:rFonts w:ascii="Arial" w:hAnsi="Arial" w:cs="Arial" w:hint="eastAsia"/>
        </w:rPr>
        <w:t>V2X intra-band con-current</w:t>
      </w:r>
      <w:r w:rsidR="001C0FD1">
        <w:rPr>
          <w:rFonts w:ascii="Arial" w:hAnsi="Arial" w:cs="Arial" w:hint="eastAsia"/>
        </w:rPr>
        <w:t xml:space="preserve"> operation</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424558">
        <w:rPr>
          <w:rFonts w:ascii="Arial" w:hAnsi="Arial" w:cs="Arial" w:hint="eastAsia"/>
        </w:rPr>
        <w:t>9.15.</w:t>
      </w:r>
      <w:r w:rsidR="00AA5781">
        <w:rPr>
          <w:rFonts w:ascii="Arial" w:hAnsi="Arial" w:cs="Arial" w:hint="eastAsia"/>
        </w:rPr>
        <w:t>5.</w:t>
      </w:r>
      <w:r w:rsidR="00424558">
        <w:rPr>
          <w:rFonts w:ascii="Arial" w:hAnsi="Arial" w:cs="Arial" w:hint="eastAsia"/>
        </w:rPr>
        <w:t>1</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2" w:name="DocumentFor"/>
      <w:bookmarkEnd w:id="2"/>
      <w:r w:rsidR="00331ED1" w:rsidRPr="00B7762E">
        <w:rPr>
          <w:rFonts w:ascii="Arial" w:hAnsi="Arial" w:cs="Arial" w:hint="eastAsia"/>
        </w:rPr>
        <w:t>Approval</w:t>
      </w:r>
    </w:p>
    <w:p w:rsidR="003570B8" w:rsidRPr="008D37B3" w:rsidRDefault="00752C60" w:rsidP="008D37B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8728B" w:rsidRPr="007B16EC" w:rsidRDefault="003570B8" w:rsidP="004C4C7A">
      <w:pPr>
        <w:spacing w:before="0" w:after="120"/>
        <w:jc w:val="left"/>
        <w:rPr>
          <w:sz w:val="20"/>
        </w:rPr>
      </w:pPr>
      <w:r>
        <w:rPr>
          <w:rFonts w:hint="eastAsia"/>
          <w:sz w:val="20"/>
        </w:rPr>
        <w:t>I</w:t>
      </w:r>
      <w:r w:rsidRPr="00635B8E">
        <w:rPr>
          <w:rFonts w:hint="eastAsia"/>
          <w:sz w:val="20"/>
        </w:rPr>
        <w:t xml:space="preserve">n RAN4#99e meeting, </w:t>
      </w:r>
      <w:r w:rsidR="00A66F20" w:rsidRPr="00635B8E">
        <w:rPr>
          <w:rFonts w:hint="eastAsia"/>
          <w:sz w:val="20"/>
        </w:rPr>
        <w:t>intra-band V2X con-current operation was discussed including adjacent carrier and non-adjacent carrier [1]</w:t>
      </w:r>
      <w:r w:rsidR="0018728B" w:rsidRPr="00635B8E">
        <w:rPr>
          <w:rFonts w:hint="eastAsia"/>
          <w:sz w:val="20"/>
        </w:rPr>
        <w:t xml:space="preserve">. For </w:t>
      </w:r>
      <w:r w:rsidR="008D37B3" w:rsidRPr="00635B8E">
        <w:rPr>
          <w:rFonts w:hint="eastAsia"/>
          <w:sz w:val="20"/>
        </w:rPr>
        <w:t xml:space="preserve">adjacent carrier, </w:t>
      </w:r>
      <w:r w:rsidR="00635B8E">
        <w:rPr>
          <w:rFonts w:hint="eastAsia"/>
          <w:sz w:val="20"/>
        </w:rPr>
        <w:t>it was agreed to not</w:t>
      </w:r>
      <w:r w:rsidR="008D37B3" w:rsidRPr="00635B8E">
        <w:rPr>
          <w:rFonts w:hint="eastAsia"/>
          <w:sz w:val="20"/>
        </w:rPr>
        <w:t xml:space="preserve"> </w:t>
      </w:r>
      <w:r w:rsidR="0018728B" w:rsidRPr="00635B8E">
        <w:rPr>
          <w:rFonts w:hint="eastAsia"/>
          <w:sz w:val="20"/>
        </w:rPr>
        <w:t xml:space="preserve">allow </w:t>
      </w:r>
      <w:r w:rsidR="0018728B" w:rsidRPr="00635B8E">
        <w:rPr>
          <w:sz w:val="20"/>
        </w:rPr>
        <w:t>simultaneous</w:t>
      </w:r>
      <w:r w:rsidR="00635B8E">
        <w:rPr>
          <w:rFonts w:hint="eastAsia"/>
          <w:sz w:val="20"/>
        </w:rPr>
        <w:t xml:space="preserve"> UL </w:t>
      </w:r>
      <w:proofErr w:type="spellStart"/>
      <w:proofErr w:type="gramStart"/>
      <w:r w:rsidR="00635B8E">
        <w:rPr>
          <w:rFonts w:hint="eastAsia"/>
          <w:sz w:val="20"/>
        </w:rPr>
        <w:t>Tx</w:t>
      </w:r>
      <w:proofErr w:type="spellEnd"/>
      <w:proofErr w:type="gramEnd"/>
      <w:r w:rsidR="00635B8E">
        <w:rPr>
          <w:rFonts w:hint="eastAsia"/>
          <w:sz w:val="20"/>
        </w:rPr>
        <w:t xml:space="preserve"> and SL Rx, but no agreements for non-adjacent carrier.</w:t>
      </w:r>
      <w:r w:rsidR="000669B1">
        <w:rPr>
          <w:rFonts w:hint="eastAsia"/>
          <w:sz w:val="20"/>
        </w:rPr>
        <w:t xml:space="preserve"> </w:t>
      </w:r>
      <w:r w:rsidR="0018728B">
        <w:rPr>
          <w:rFonts w:hint="eastAsia"/>
          <w:sz w:val="20"/>
        </w:rPr>
        <w:t>This contribution will provide our view on intra-band V2X con-current operation with non-adjacent carrier.</w:t>
      </w:r>
    </w:p>
    <w:p w:rsidR="00417EBC" w:rsidRPr="00417EBC" w:rsidRDefault="004B3EE8" w:rsidP="00417EB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B16EC" w:rsidRDefault="007B16EC" w:rsidP="00417EBC">
      <w:pPr>
        <w:spacing w:before="0" w:after="120"/>
        <w:jc w:val="left"/>
        <w:rPr>
          <w:sz w:val="20"/>
        </w:rPr>
      </w:pPr>
      <w:r>
        <w:rPr>
          <w:rFonts w:hint="eastAsia"/>
          <w:sz w:val="20"/>
        </w:rPr>
        <w:t xml:space="preserve">As per [2], the following </w:t>
      </w:r>
      <w:r w:rsidR="00732FAA">
        <w:rPr>
          <w:rFonts w:hint="eastAsia"/>
          <w:sz w:val="20"/>
        </w:rPr>
        <w:t xml:space="preserve">agreements and </w:t>
      </w:r>
      <w:r>
        <w:rPr>
          <w:rFonts w:hint="eastAsia"/>
          <w:sz w:val="20"/>
        </w:rPr>
        <w:t xml:space="preserve">candidate </w:t>
      </w:r>
      <w:r>
        <w:rPr>
          <w:sz w:val="20"/>
        </w:rPr>
        <w:t>option</w:t>
      </w:r>
      <w:r w:rsidR="00732FAA">
        <w:rPr>
          <w:rFonts w:hint="eastAsia"/>
          <w:sz w:val="20"/>
        </w:rPr>
        <w:t>s were given regarding operating scenarios for intra-band V2X operation</w:t>
      </w:r>
      <w:r>
        <w:rPr>
          <w:rFonts w:hint="eastAsia"/>
          <w:sz w:val="20"/>
        </w:rPr>
        <w:t>:</w:t>
      </w:r>
    </w:p>
    <w:tbl>
      <w:tblPr>
        <w:tblStyle w:val="af8"/>
        <w:tblW w:w="0" w:type="auto"/>
        <w:tblLook w:val="04A0" w:firstRow="1" w:lastRow="0" w:firstColumn="1" w:lastColumn="0" w:noHBand="0" w:noVBand="1"/>
      </w:tblPr>
      <w:tblGrid>
        <w:gridCol w:w="9855"/>
      </w:tblGrid>
      <w:tr w:rsidR="0069250A" w:rsidTr="0069250A">
        <w:tc>
          <w:tcPr>
            <w:tcW w:w="9855" w:type="dxa"/>
          </w:tcPr>
          <w:p w:rsidR="004C0C3C" w:rsidRPr="004C0C3C" w:rsidRDefault="004C0C3C" w:rsidP="00A16EBF">
            <w:pPr>
              <w:numPr>
                <w:ilvl w:val="0"/>
                <w:numId w:val="19"/>
              </w:numPr>
              <w:tabs>
                <w:tab w:val="num" w:pos="1440"/>
              </w:tabs>
              <w:spacing w:before="0" w:after="120"/>
              <w:jc w:val="left"/>
              <w:rPr>
                <w:sz w:val="20"/>
                <w:lang w:val="en-US"/>
              </w:rPr>
            </w:pPr>
            <w:r w:rsidRPr="004C0C3C">
              <w:rPr>
                <w:b/>
                <w:bCs/>
                <w:sz w:val="20"/>
                <w:u w:val="single"/>
              </w:rPr>
              <w:t>Issue 1-2-1: Intra-band con-current V2X operation with adjacent carrier for TDD band</w:t>
            </w:r>
          </w:p>
          <w:p w:rsidR="00CE310B" w:rsidRPr="000669B1" w:rsidRDefault="00A16EBF" w:rsidP="00CE310B">
            <w:pPr>
              <w:numPr>
                <w:ilvl w:val="1"/>
                <w:numId w:val="19"/>
              </w:numPr>
              <w:tabs>
                <w:tab w:val="num" w:pos="1440"/>
              </w:tabs>
              <w:spacing w:before="0" w:after="120"/>
              <w:jc w:val="left"/>
              <w:rPr>
                <w:sz w:val="20"/>
                <w:lang w:val="en-US"/>
              </w:rPr>
            </w:pPr>
            <w:r w:rsidRPr="004C0C3C">
              <w:rPr>
                <w:sz w:val="20"/>
                <w:lang w:val="en-US"/>
              </w:rPr>
              <w:t>Agreements:</w:t>
            </w:r>
            <w:r w:rsidR="006724F3">
              <w:rPr>
                <w:rFonts w:eastAsiaTheme="minorEastAsia" w:hint="eastAsia"/>
                <w:sz w:val="20"/>
                <w:lang w:val="en-US"/>
              </w:rPr>
              <w:t xml:space="preserve"> </w:t>
            </w:r>
            <w:r w:rsidRPr="006724F3">
              <w:rPr>
                <w:sz w:val="20"/>
                <w:lang w:val="en-US"/>
              </w:rPr>
              <w:t>Simultaneous NR UL Transmission and NR SL reception with adjacent carrier in TDD band are not allowed, and then RAN4 allow intra-band con-current SL operation with adjacent carrier for FDM operation in TDD band without in-device coexistence study.</w:t>
            </w:r>
          </w:p>
          <w:p w:rsidR="006724F3" w:rsidRPr="006724F3" w:rsidRDefault="006724F3" w:rsidP="00A16EBF">
            <w:pPr>
              <w:numPr>
                <w:ilvl w:val="0"/>
                <w:numId w:val="20"/>
              </w:numPr>
              <w:tabs>
                <w:tab w:val="num" w:pos="1440"/>
              </w:tabs>
              <w:spacing w:before="0" w:after="120"/>
              <w:jc w:val="left"/>
              <w:rPr>
                <w:rFonts w:eastAsiaTheme="minorEastAsia"/>
                <w:sz w:val="20"/>
                <w:lang w:val="en-US"/>
              </w:rPr>
            </w:pPr>
            <w:r w:rsidRPr="006724F3">
              <w:rPr>
                <w:rFonts w:eastAsiaTheme="minorEastAsia"/>
                <w:b/>
                <w:bCs/>
                <w:sz w:val="20"/>
                <w:u w:val="single"/>
              </w:rPr>
              <w:t>Issue 1-2-2: Intra-band con-current V2X operation with adjacent carrier for FDD band</w:t>
            </w:r>
          </w:p>
          <w:p w:rsidR="00CE310B" w:rsidRPr="000669B1" w:rsidRDefault="00A16EBF" w:rsidP="00CE310B">
            <w:pPr>
              <w:numPr>
                <w:ilvl w:val="1"/>
                <w:numId w:val="20"/>
              </w:numPr>
              <w:tabs>
                <w:tab w:val="num" w:pos="1440"/>
              </w:tabs>
              <w:spacing w:before="0" w:after="120"/>
              <w:jc w:val="left"/>
              <w:rPr>
                <w:rFonts w:eastAsiaTheme="minorEastAsia"/>
                <w:sz w:val="20"/>
                <w:lang w:val="en-US"/>
              </w:rPr>
            </w:pPr>
            <w:r w:rsidRPr="006724F3">
              <w:rPr>
                <w:rFonts w:eastAsiaTheme="minorEastAsia"/>
                <w:sz w:val="20"/>
                <w:lang w:val="en-US"/>
              </w:rPr>
              <w:t>Agreements:</w:t>
            </w:r>
            <w:r w:rsidR="006724F3">
              <w:rPr>
                <w:rFonts w:eastAsiaTheme="minorEastAsia" w:hint="eastAsia"/>
                <w:sz w:val="20"/>
                <w:lang w:val="en-US"/>
              </w:rPr>
              <w:t xml:space="preserve"> </w:t>
            </w:r>
            <w:r w:rsidRPr="006724F3">
              <w:rPr>
                <w:rFonts w:eastAsiaTheme="minorEastAsia"/>
                <w:sz w:val="20"/>
                <w:lang w:val="en-US"/>
              </w:rPr>
              <w:t>Focus on intra-band con-current V2X operation with adjacent carrier for TDD band and deprioritize FDD band. FDD band can be studied once operator has request.</w:t>
            </w:r>
          </w:p>
          <w:p w:rsidR="0069250A" w:rsidRPr="006724F3" w:rsidRDefault="006724F3" w:rsidP="00A16EBF">
            <w:pPr>
              <w:numPr>
                <w:ilvl w:val="0"/>
                <w:numId w:val="20"/>
              </w:numPr>
              <w:tabs>
                <w:tab w:val="num" w:pos="1440"/>
              </w:tabs>
              <w:spacing w:before="0" w:after="120"/>
              <w:jc w:val="left"/>
              <w:rPr>
                <w:rFonts w:eastAsiaTheme="minorEastAsia"/>
                <w:b/>
                <w:bCs/>
                <w:sz w:val="20"/>
                <w:u w:val="single"/>
              </w:rPr>
            </w:pPr>
            <w:r w:rsidRPr="006724F3">
              <w:rPr>
                <w:rFonts w:eastAsiaTheme="minorEastAsia"/>
                <w:b/>
                <w:bCs/>
                <w:sz w:val="20"/>
                <w:u w:val="single"/>
              </w:rPr>
              <w:t>Issue 1-2-3: Frequency separation for non-adjacent carriers</w:t>
            </w:r>
          </w:p>
          <w:p w:rsidR="008C245B" w:rsidRPr="006724F3" w:rsidRDefault="00A16EBF" w:rsidP="00A16EBF">
            <w:pPr>
              <w:numPr>
                <w:ilvl w:val="1"/>
                <w:numId w:val="20"/>
              </w:numPr>
              <w:tabs>
                <w:tab w:val="num" w:pos="1440"/>
              </w:tabs>
              <w:spacing w:before="0" w:after="120"/>
              <w:jc w:val="left"/>
              <w:rPr>
                <w:rFonts w:eastAsiaTheme="minorEastAsia"/>
                <w:sz w:val="20"/>
                <w:lang w:val="en-US"/>
              </w:rPr>
            </w:pPr>
            <w:r w:rsidRPr="006724F3">
              <w:rPr>
                <w:rFonts w:eastAsiaTheme="minorEastAsia"/>
                <w:sz w:val="20"/>
                <w:lang w:val="en-US"/>
              </w:rPr>
              <w:t>Candidate options:</w:t>
            </w:r>
          </w:p>
          <w:p w:rsidR="008C245B" w:rsidRPr="006724F3" w:rsidRDefault="00A16EBF" w:rsidP="00A16EBF">
            <w:pPr>
              <w:numPr>
                <w:ilvl w:val="2"/>
                <w:numId w:val="20"/>
              </w:numPr>
              <w:spacing w:before="0"/>
              <w:jc w:val="left"/>
              <w:rPr>
                <w:rFonts w:eastAsiaTheme="minorEastAsia"/>
                <w:sz w:val="20"/>
                <w:lang w:val="en-US"/>
              </w:rPr>
            </w:pPr>
            <w:r w:rsidRPr="006724F3">
              <w:rPr>
                <w:rFonts w:eastAsiaTheme="minorEastAsia"/>
                <w:sz w:val="20"/>
                <w:lang w:val="en-US"/>
              </w:rPr>
              <w:t xml:space="preserve">Option 1: RAN4 discuss whether to introduce the concurrent reception of SL and </w:t>
            </w:r>
            <w:proofErr w:type="spellStart"/>
            <w:r w:rsidRPr="006724F3">
              <w:rPr>
                <w:rFonts w:eastAsiaTheme="minorEastAsia"/>
                <w:sz w:val="20"/>
                <w:lang w:val="en-US"/>
              </w:rPr>
              <w:t>Uu</w:t>
            </w:r>
            <w:proofErr w:type="spellEnd"/>
            <w:r w:rsidRPr="006724F3">
              <w:rPr>
                <w:rFonts w:eastAsiaTheme="minorEastAsia"/>
                <w:sz w:val="20"/>
                <w:lang w:val="en-US"/>
              </w:rPr>
              <w:t xml:space="preserve"> transmission operation in the licensed band.</w:t>
            </w:r>
          </w:p>
          <w:p w:rsidR="008C245B" w:rsidRPr="006724F3" w:rsidRDefault="00A16EBF" w:rsidP="00A16EBF">
            <w:pPr>
              <w:numPr>
                <w:ilvl w:val="2"/>
                <w:numId w:val="20"/>
              </w:numPr>
              <w:spacing w:before="0"/>
              <w:jc w:val="left"/>
              <w:rPr>
                <w:rFonts w:eastAsiaTheme="minorEastAsia"/>
                <w:sz w:val="20"/>
                <w:lang w:val="en-US"/>
              </w:rPr>
            </w:pPr>
            <w:r w:rsidRPr="006724F3">
              <w:rPr>
                <w:rFonts w:eastAsiaTheme="minorEastAsia"/>
                <w:sz w:val="20"/>
                <w:lang w:val="en-US"/>
              </w:rPr>
              <w:t xml:space="preserve">Option 1a: RAN4 don’t allow con-current </w:t>
            </w:r>
            <w:proofErr w:type="spellStart"/>
            <w:r w:rsidRPr="006724F3">
              <w:rPr>
                <w:rFonts w:eastAsiaTheme="minorEastAsia"/>
                <w:sz w:val="20"/>
                <w:lang w:val="en-US"/>
              </w:rPr>
              <w:t>Uu</w:t>
            </w:r>
            <w:proofErr w:type="spellEnd"/>
            <w:r w:rsidRPr="006724F3">
              <w:rPr>
                <w:rFonts w:eastAsiaTheme="minorEastAsia"/>
                <w:sz w:val="20"/>
                <w:lang w:val="en-US"/>
              </w:rPr>
              <w:t xml:space="preserve"> transmission and SL reception for FDM operation with non-adjacent carriers. </w:t>
            </w:r>
          </w:p>
          <w:p w:rsidR="008C245B" w:rsidRPr="006724F3" w:rsidRDefault="00A16EBF" w:rsidP="00A16EBF">
            <w:pPr>
              <w:numPr>
                <w:ilvl w:val="2"/>
                <w:numId w:val="20"/>
              </w:numPr>
              <w:spacing w:before="0"/>
              <w:jc w:val="left"/>
              <w:rPr>
                <w:rFonts w:eastAsiaTheme="minorEastAsia"/>
                <w:sz w:val="20"/>
                <w:lang w:val="en-US"/>
              </w:rPr>
            </w:pPr>
            <w:r w:rsidRPr="006724F3">
              <w:rPr>
                <w:rFonts w:eastAsiaTheme="minorEastAsia"/>
                <w:sz w:val="20"/>
                <w:lang w:val="en-US"/>
              </w:rPr>
              <w:t xml:space="preserve">Option 2: No need to introduce the frequency separation for the case </w:t>
            </w:r>
            <w:proofErr w:type="spellStart"/>
            <w:r w:rsidRPr="006724F3">
              <w:rPr>
                <w:rFonts w:eastAsiaTheme="minorEastAsia"/>
                <w:sz w:val="20"/>
                <w:lang w:val="en-US"/>
              </w:rPr>
              <w:t>Uu</w:t>
            </w:r>
            <w:proofErr w:type="spellEnd"/>
            <w:r w:rsidRPr="006724F3">
              <w:rPr>
                <w:rFonts w:eastAsiaTheme="minorEastAsia"/>
                <w:sz w:val="20"/>
                <w:lang w:val="en-US"/>
              </w:rPr>
              <w:t xml:space="preserve"> and SL are in different channels for intra-band con-current operation.</w:t>
            </w:r>
          </w:p>
          <w:p w:rsidR="008C245B" w:rsidRPr="006724F3" w:rsidRDefault="00A16EBF" w:rsidP="00A16EBF">
            <w:pPr>
              <w:numPr>
                <w:ilvl w:val="1"/>
                <w:numId w:val="20"/>
              </w:numPr>
              <w:tabs>
                <w:tab w:val="num" w:pos="1440"/>
              </w:tabs>
              <w:spacing w:before="0" w:after="120"/>
              <w:jc w:val="left"/>
              <w:rPr>
                <w:rFonts w:eastAsiaTheme="minorEastAsia"/>
                <w:sz w:val="20"/>
                <w:lang w:val="en-US"/>
              </w:rPr>
            </w:pPr>
            <w:r w:rsidRPr="006724F3">
              <w:rPr>
                <w:rFonts w:eastAsiaTheme="minorEastAsia"/>
                <w:sz w:val="20"/>
              </w:rPr>
              <w:t>Recommended WF</w:t>
            </w:r>
          </w:p>
          <w:p w:rsidR="006724F3" w:rsidRPr="000669B1" w:rsidRDefault="00A16EBF" w:rsidP="000669B1">
            <w:pPr>
              <w:numPr>
                <w:ilvl w:val="2"/>
                <w:numId w:val="20"/>
              </w:numPr>
              <w:spacing w:before="0"/>
              <w:jc w:val="left"/>
              <w:rPr>
                <w:rFonts w:eastAsiaTheme="minorEastAsia"/>
                <w:sz w:val="20"/>
                <w:lang w:val="en-US"/>
              </w:rPr>
            </w:pPr>
            <w:r w:rsidRPr="006724F3">
              <w:rPr>
                <w:rFonts w:eastAsiaTheme="minorEastAsia"/>
                <w:sz w:val="20"/>
                <w:lang w:val="en-US"/>
              </w:rPr>
              <w:t xml:space="preserve">Option 1. RAN4 decide </w:t>
            </w:r>
            <w:bookmarkStart w:id="3" w:name="OLE_LINK1"/>
            <w:bookmarkStart w:id="4" w:name="OLE_LINK2"/>
            <w:r w:rsidRPr="006724F3">
              <w:rPr>
                <w:rFonts w:eastAsiaTheme="minorEastAsia"/>
                <w:sz w:val="20"/>
                <w:lang w:val="en-US"/>
              </w:rPr>
              <w:t xml:space="preserve">whether to allow con-current reception of SL and </w:t>
            </w:r>
            <w:proofErr w:type="spellStart"/>
            <w:r w:rsidRPr="006724F3">
              <w:rPr>
                <w:rFonts w:eastAsiaTheme="minorEastAsia"/>
                <w:sz w:val="20"/>
                <w:lang w:val="en-US"/>
              </w:rPr>
              <w:t>Uu</w:t>
            </w:r>
            <w:proofErr w:type="spellEnd"/>
            <w:r w:rsidRPr="006724F3">
              <w:rPr>
                <w:rFonts w:eastAsiaTheme="minorEastAsia"/>
                <w:sz w:val="20"/>
                <w:lang w:val="en-US"/>
              </w:rPr>
              <w:t xml:space="preserve"> transmission operation in the licensed band in next meeting.</w:t>
            </w:r>
            <w:bookmarkEnd w:id="3"/>
            <w:bookmarkEnd w:id="4"/>
          </w:p>
          <w:p w:rsidR="006724F3" w:rsidRPr="006724F3" w:rsidRDefault="006724F3" w:rsidP="00A16EBF">
            <w:pPr>
              <w:numPr>
                <w:ilvl w:val="0"/>
                <w:numId w:val="20"/>
              </w:numPr>
              <w:tabs>
                <w:tab w:val="num" w:pos="1440"/>
              </w:tabs>
              <w:spacing w:before="0" w:after="120"/>
              <w:jc w:val="left"/>
              <w:rPr>
                <w:rFonts w:eastAsiaTheme="minorEastAsia"/>
                <w:b/>
                <w:bCs/>
                <w:sz w:val="20"/>
                <w:u w:val="single"/>
              </w:rPr>
            </w:pPr>
            <w:r w:rsidRPr="006724F3">
              <w:rPr>
                <w:rFonts w:eastAsiaTheme="minorEastAsia"/>
                <w:b/>
                <w:bCs/>
                <w:sz w:val="20"/>
                <w:u w:val="single"/>
              </w:rPr>
              <w:t>Issue 1-3-1: Intra-band V2X operation with same carrier</w:t>
            </w:r>
          </w:p>
          <w:p w:rsidR="008C245B" w:rsidRPr="006724F3" w:rsidRDefault="00A16EBF" w:rsidP="00A16EBF">
            <w:pPr>
              <w:numPr>
                <w:ilvl w:val="1"/>
                <w:numId w:val="20"/>
              </w:numPr>
              <w:tabs>
                <w:tab w:val="num" w:pos="720"/>
                <w:tab w:val="num" w:pos="1440"/>
              </w:tabs>
              <w:spacing w:before="0" w:after="120"/>
              <w:jc w:val="left"/>
              <w:rPr>
                <w:rFonts w:eastAsiaTheme="minorEastAsia"/>
                <w:sz w:val="20"/>
                <w:lang w:val="en-US"/>
              </w:rPr>
            </w:pPr>
            <w:r w:rsidRPr="006724F3">
              <w:rPr>
                <w:rFonts w:eastAsiaTheme="minorEastAsia"/>
                <w:sz w:val="20"/>
                <w:lang w:val="en-US"/>
              </w:rPr>
              <w:t>Candidate options:</w:t>
            </w:r>
          </w:p>
          <w:p w:rsidR="008C245B" w:rsidRPr="006724F3" w:rsidRDefault="00A16EBF" w:rsidP="00A16EBF">
            <w:pPr>
              <w:numPr>
                <w:ilvl w:val="2"/>
                <w:numId w:val="20"/>
              </w:numPr>
              <w:spacing w:before="0"/>
              <w:jc w:val="left"/>
              <w:rPr>
                <w:rFonts w:eastAsiaTheme="minorEastAsia"/>
                <w:sz w:val="20"/>
                <w:lang w:val="en-US"/>
              </w:rPr>
            </w:pPr>
            <w:r w:rsidRPr="006724F3">
              <w:rPr>
                <w:rFonts w:eastAsiaTheme="minorEastAsia"/>
                <w:sz w:val="20"/>
                <w:lang w:val="en-US"/>
              </w:rPr>
              <w:t xml:space="preserve">Option 1: Prioritize the scenario for </w:t>
            </w:r>
            <w:proofErr w:type="spellStart"/>
            <w:r w:rsidRPr="006724F3">
              <w:rPr>
                <w:rFonts w:eastAsiaTheme="minorEastAsia"/>
                <w:sz w:val="20"/>
                <w:lang w:val="en-US"/>
              </w:rPr>
              <w:t>Uu</w:t>
            </w:r>
            <w:proofErr w:type="spellEnd"/>
            <w:r w:rsidRPr="006724F3">
              <w:rPr>
                <w:rFonts w:eastAsiaTheme="minorEastAsia"/>
                <w:sz w:val="20"/>
                <w:lang w:val="en-US"/>
              </w:rPr>
              <w:t xml:space="preserve"> and SL in the same carrier for intra-band V2X operation (TDM).</w:t>
            </w:r>
          </w:p>
          <w:p w:rsidR="008C245B" w:rsidRPr="006724F3" w:rsidRDefault="00A16EBF" w:rsidP="00A16EBF">
            <w:pPr>
              <w:numPr>
                <w:ilvl w:val="2"/>
                <w:numId w:val="20"/>
              </w:numPr>
              <w:tabs>
                <w:tab w:val="num" w:pos="720"/>
                <w:tab w:val="num" w:pos="1440"/>
              </w:tabs>
              <w:spacing w:before="0"/>
              <w:jc w:val="left"/>
              <w:rPr>
                <w:rFonts w:eastAsiaTheme="minorEastAsia"/>
                <w:sz w:val="20"/>
                <w:lang w:val="en-US"/>
              </w:rPr>
            </w:pPr>
            <w:r w:rsidRPr="006724F3">
              <w:rPr>
                <w:rFonts w:eastAsiaTheme="minorEastAsia"/>
                <w:sz w:val="20"/>
                <w:lang w:val="en-US"/>
              </w:rPr>
              <w:t xml:space="preserve">Option 2: Prioritize the scenario for </w:t>
            </w:r>
            <w:proofErr w:type="spellStart"/>
            <w:r w:rsidRPr="006724F3">
              <w:rPr>
                <w:rFonts w:eastAsiaTheme="minorEastAsia"/>
                <w:sz w:val="20"/>
                <w:lang w:val="en-US"/>
              </w:rPr>
              <w:t>Uu</w:t>
            </w:r>
            <w:proofErr w:type="spellEnd"/>
            <w:r w:rsidRPr="006724F3">
              <w:rPr>
                <w:rFonts w:eastAsiaTheme="minorEastAsia"/>
                <w:sz w:val="20"/>
                <w:lang w:val="en-US"/>
              </w:rPr>
              <w:t xml:space="preserve"> and SL in the different carrier for intra-band V2X operation (TDM).</w:t>
            </w:r>
          </w:p>
          <w:p w:rsidR="008C245B" w:rsidRPr="006724F3" w:rsidRDefault="00A16EBF" w:rsidP="00A16EBF">
            <w:pPr>
              <w:numPr>
                <w:ilvl w:val="2"/>
                <w:numId w:val="20"/>
              </w:numPr>
              <w:tabs>
                <w:tab w:val="num" w:pos="720"/>
                <w:tab w:val="num" w:pos="1440"/>
              </w:tabs>
              <w:spacing w:before="0"/>
              <w:jc w:val="left"/>
              <w:rPr>
                <w:rFonts w:eastAsiaTheme="minorEastAsia"/>
                <w:sz w:val="20"/>
                <w:lang w:val="en-US"/>
              </w:rPr>
            </w:pPr>
            <w:r w:rsidRPr="006724F3">
              <w:rPr>
                <w:rFonts w:eastAsiaTheme="minorEastAsia"/>
                <w:sz w:val="20"/>
                <w:lang w:val="en-US"/>
              </w:rPr>
              <w:t xml:space="preserve">Option 3: Prioritize the scenario for </w:t>
            </w:r>
            <w:proofErr w:type="spellStart"/>
            <w:r w:rsidRPr="006724F3">
              <w:rPr>
                <w:rFonts w:eastAsiaTheme="minorEastAsia"/>
                <w:sz w:val="20"/>
                <w:lang w:val="en-US"/>
              </w:rPr>
              <w:t>Uu</w:t>
            </w:r>
            <w:proofErr w:type="spellEnd"/>
            <w:r w:rsidRPr="006724F3">
              <w:rPr>
                <w:rFonts w:eastAsiaTheme="minorEastAsia"/>
                <w:sz w:val="20"/>
                <w:lang w:val="en-US"/>
              </w:rPr>
              <w:t xml:space="preserve"> and SL in both the same carrier and different carrier for intra-band V2X operation (TDM).</w:t>
            </w:r>
          </w:p>
          <w:p w:rsidR="008C245B" w:rsidRPr="006724F3" w:rsidRDefault="00A16EBF" w:rsidP="00A16EBF">
            <w:pPr>
              <w:numPr>
                <w:ilvl w:val="1"/>
                <w:numId w:val="20"/>
              </w:numPr>
              <w:tabs>
                <w:tab w:val="num" w:pos="720"/>
                <w:tab w:val="num" w:pos="1440"/>
              </w:tabs>
              <w:spacing w:before="0" w:after="120"/>
              <w:jc w:val="left"/>
              <w:rPr>
                <w:rFonts w:eastAsiaTheme="minorEastAsia"/>
                <w:sz w:val="20"/>
                <w:lang w:val="en-US"/>
              </w:rPr>
            </w:pPr>
            <w:r w:rsidRPr="006724F3">
              <w:rPr>
                <w:rFonts w:eastAsiaTheme="minorEastAsia"/>
                <w:sz w:val="20"/>
                <w:lang w:val="en-US"/>
              </w:rPr>
              <w:t>Recommended</w:t>
            </w:r>
            <w:r w:rsidRPr="006724F3">
              <w:rPr>
                <w:rFonts w:eastAsiaTheme="minorEastAsia"/>
                <w:sz w:val="20"/>
              </w:rPr>
              <w:t xml:space="preserve"> WF</w:t>
            </w:r>
          </w:p>
          <w:p w:rsidR="006724F3" w:rsidRPr="0069250A" w:rsidRDefault="006724F3" w:rsidP="00A16EBF">
            <w:pPr>
              <w:numPr>
                <w:ilvl w:val="2"/>
                <w:numId w:val="20"/>
              </w:numPr>
              <w:spacing w:before="0"/>
              <w:jc w:val="left"/>
              <w:rPr>
                <w:rFonts w:eastAsiaTheme="minorEastAsia"/>
                <w:sz w:val="20"/>
                <w:lang w:val="en-US"/>
              </w:rPr>
            </w:pPr>
            <w:r>
              <w:rPr>
                <w:rFonts w:eastAsiaTheme="minorEastAsia" w:hint="eastAsia"/>
                <w:sz w:val="20"/>
                <w:lang w:val="en-US"/>
              </w:rPr>
              <w:lastRenderedPageBreak/>
              <w:t>Option 3</w:t>
            </w:r>
          </w:p>
        </w:tc>
      </w:tr>
    </w:tbl>
    <w:p w:rsidR="007B16EC" w:rsidRDefault="007B16EC" w:rsidP="00417EBC">
      <w:pPr>
        <w:spacing w:before="0" w:after="120"/>
        <w:jc w:val="left"/>
        <w:rPr>
          <w:sz w:val="20"/>
        </w:rPr>
      </w:pPr>
    </w:p>
    <w:p w:rsidR="00C67826" w:rsidRDefault="00F13EB9" w:rsidP="00417EBC">
      <w:pPr>
        <w:spacing w:before="0" w:after="120"/>
        <w:jc w:val="left"/>
        <w:rPr>
          <w:rFonts w:eastAsiaTheme="minorEastAsia"/>
          <w:sz w:val="20"/>
          <w:lang w:val="en-US"/>
        </w:rPr>
      </w:pPr>
      <w:r>
        <w:rPr>
          <w:rFonts w:hint="eastAsia"/>
          <w:sz w:val="20"/>
        </w:rPr>
        <w:t xml:space="preserve">In the last meeting, it </w:t>
      </w:r>
      <w:r w:rsidR="002C7569">
        <w:rPr>
          <w:rFonts w:hint="eastAsia"/>
          <w:sz w:val="20"/>
        </w:rPr>
        <w:t xml:space="preserve">was agreed that </w:t>
      </w:r>
      <w:r w:rsidR="002C7569">
        <w:rPr>
          <w:rFonts w:eastAsiaTheme="minorEastAsia" w:hint="eastAsia"/>
          <w:sz w:val="20"/>
          <w:lang w:val="en-US"/>
        </w:rPr>
        <w:t>s</w:t>
      </w:r>
      <w:r w:rsidR="00443B0E">
        <w:rPr>
          <w:rFonts w:eastAsia="MS Mincho"/>
          <w:sz w:val="20"/>
          <w:lang w:val="en-US"/>
        </w:rPr>
        <w:t>imultaneous</w:t>
      </w:r>
      <w:r>
        <w:rPr>
          <w:rFonts w:eastAsia="MS Mincho"/>
          <w:sz w:val="20"/>
          <w:lang w:val="en-US"/>
        </w:rPr>
        <w:t xml:space="preserve"> UL </w:t>
      </w:r>
      <w:r>
        <w:rPr>
          <w:rFonts w:eastAsiaTheme="minorEastAsia" w:hint="eastAsia"/>
          <w:sz w:val="20"/>
          <w:lang w:val="en-US"/>
        </w:rPr>
        <w:t>t</w:t>
      </w:r>
      <w:r w:rsidR="00443B0E">
        <w:rPr>
          <w:rFonts w:eastAsia="MS Mincho"/>
          <w:sz w:val="20"/>
          <w:lang w:val="en-US"/>
        </w:rPr>
        <w:t>ransmission and</w:t>
      </w:r>
      <w:r w:rsidR="002C7569" w:rsidRPr="006724F3">
        <w:rPr>
          <w:rFonts w:eastAsia="MS Mincho"/>
          <w:sz w:val="20"/>
          <w:lang w:val="en-US"/>
        </w:rPr>
        <w:t xml:space="preserve"> SL reception with adjacent carrier in TDD band are not allowed</w:t>
      </w:r>
      <w:r>
        <w:rPr>
          <w:rFonts w:eastAsiaTheme="minorEastAsia" w:hint="eastAsia"/>
          <w:sz w:val="20"/>
          <w:lang w:val="en-US"/>
        </w:rPr>
        <w:t xml:space="preserve">. Nevertheless, </w:t>
      </w:r>
      <w:r w:rsidRPr="006724F3">
        <w:rPr>
          <w:rFonts w:eastAsiaTheme="minorEastAsia"/>
          <w:sz w:val="20"/>
          <w:lang w:val="en-US"/>
        </w:rPr>
        <w:t xml:space="preserve">whether to allow </w:t>
      </w:r>
      <w:r w:rsidR="00CF53D8">
        <w:rPr>
          <w:rFonts w:eastAsiaTheme="minorEastAsia" w:hint="eastAsia"/>
          <w:sz w:val="20"/>
          <w:lang w:val="en-US"/>
        </w:rPr>
        <w:t>simultaneous</w:t>
      </w:r>
      <w:r w:rsidRPr="006724F3">
        <w:rPr>
          <w:rFonts w:eastAsiaTheme="minorEastAsia"/>
          <w:sz w:val="20"/>
          <w:lang w:val="en-US"/>
        </w:rPr>
        <w:t xml:space="preserve"> </w:t>
      </w:r>
      <w:r>
        <w:rPr>
          <w:rFonts w:eastAsiaTheme="minorEastAsia" w:hint="eastAsia"/>
          <w:sz w:val="20"/>
          <w:lang w:val="en-US"/>
        </w:rPr>
        <w:t xml:space="preserve">UL </w:t>
      </w:r>
      <w:r w:rsidRPr="006724F3">
        <w:rPr>
          <w:rFonts w:eastAsiaTheme="minorEastAsia"/>
          <w:sz w:val="20"/>
          <w:lang w:val="en-US"/>
        </w:rPr>
        <w:t>transmission</w:t>
      </w:r>
      <w:r w:rsidR="00F94096">
        <w:rPr>
          <w:rFonts w:eastAsiaTheme="minorEastAsia" w:hint="eastAsia"/>
          <w:sz w:val="20"/>
          <w:lang w:val="en-US"/>
        </w:rPr>
        <w:t xml:space="preserve"> and SL reception</w:t>
      </w:r>
      <w:r w:rsidR="00F94096">
        <w:rPr>
          <w:rFonts w:eastAsiaTheme="minorEastAsia"/>
          <w:sz w:val="20"/>
          <w:lang w:val="en-US"/>
        </w:rPr>
        <w:t xml:space="preserve"> with non</w:t>
      </w:r>
      <w:r w:rsidR="00F94096">
        <w:rPr>
          <w:rFonts w:eastAsiaTheme="minorEastAsia" w:hint="eastAsia"/>
          <w:sz w:val="20"/>
          <w:lang w:val="en-US"/>
        </w:rPr>
        <w:t xml:space="preserve">-adjacent carrier in TDD </w:t>
      </w:r>
      <w:r w:rsidRPr="006724F3">
        <w:rPr>
          <w:rFonts w:eastAsiaTheme="minorEastAsia"/>
          <w:sz w:val="20"/>
          <w:lang w:val="en-US"/>
        </w:rPr>
        <w:t xml:space="preserve">band </w:t>
      </w:r>
      <w:r>
        <w:rPr>
          <w:rFonts w:eastAsiaTheme="minorEastAsia" w:hint="eastAsia"/>
          <w:sz w:val="20"/>
          <w:lang w:val="en-US"/>
        </w:rPr>
        <w:t>is</w:t>
      </w:r>
      <w:r w:rsidR="00233029">
        <w:rPr>
          <w:rFonts w:eastAsiaTheme="minorEastAsia" w:hint="eastAsia"/>
          <w:sz w:val="20"/>
          <w:lang w:val="en-US"/>
        </w:rPr>
        <w:t xml:space="preserve"> still</w:t>
      </w:r>
      <w:r>
        <w:rPr>
          <w:rFonts w:eastAsiaTheme="minorEastAsia" w:hint="eastAsia"/>
          <w:sz w:val="20"/>
          <w:lang w:val="en-US"/>
        </w:rPr>
        <w:t xml:space="preserve"> not clear</w:t>
      </w:r>
      <w:r w:rsidRPr="006724F3">
        <w:rPr>
          <w:rFonts w:eastAsiaTheme="minorEastAsia"/>
          <w:sz w:val="20"/>
          <w:lang w:val="en-US"/>
        </w:rPr>
        <w:t>.</w:t>
      </w:r>
      <w:r w:rsidR="00DD7507">
        <w:rPr>
          <w:rFonts w:eastAsiaTheme="minorEastAsia" w:hint="eastAsia"/>
          <w:sz w:val="20"/>
          <w:lang w:val="en-US"/>
        </w:rPr>
        <w:t xml:space="preserve"> </w:t>
      </w:r>
    </w:p>
    <w:p w:rsidR="004C7819" w:rsidRDefault="0084304E" w:rsidP="00417EBC">
      <w:pPr>
        <w:spacing w:before="0" w:after="120"/>
        <w:jc w:val="left"/>
        <w:rPr>
          <w:rFonts w:eastAsiaTheme="minorEastAsia"/>
          <w:sz w:val="20"/>
          <w:lang w:val="en-US"/>
        </w:rPr>
      </w:pPr>
      <w:r>
        <w:rPr>
          <w:rFonts w:eastAsiaTheme="minorEastAsia" w:hint="eastAsia"/>
          <w:sz w:val="20"/>
          <w:lang w:val="en-US"/>
        </w:rPr>
        <w:t xml:space="preserve">Based on RAN1 design, SL </w:t>
      </w:r>
      <w:proofErr w:type="spellStart"/>
      <w:r>
        <w:rPr>
          <w:rFonts w:eastAsiaTheme="minorEastAsia" w:hint="eastAsia"/>
          <w:sz w:val="20"/>
          <w:lang w:val="en-US"/>
        </w:rPr>
        <w:t>Tx</w:t>
      </w:r>
      <w:proofErr w:type="spellEnd"/>
      <w:r>
        <w:rPr>
          <w:rFonts w:eastAsiaTheme="minorEastAsia" w:hint="eastAsia"/>
          <w:sz w:val="20"/>
          <w:lang w:val="en-US"/>
        </w:rPr>
        <w:t xml:space="preserve">/Rx is always operated in </w:t>
      </w:r>
      <w:proofErr w:type="spellStart"/>
      <w:r>
        <w:rPr>
          <w:rFonts w:eastAsiaTheme="minorEastAsia" w:hint="eastAsia"/>
          <w:sz w:val="20"/>
          <w:lang w:val="en-US"/>
        </w:rPr>
        <w:t>Uu</w:t>
      </w:r>
      <w:proofErr w:type="spellEnd"/>
      <w:r>
        <w:rPr>
          <w:rFonts w:eastAsiaTheme="minorEastAsia" w:hint="eastAsia"/>
          <w:sz w:val="20"/>
          <w:lang w:val="en-US"/>
        </w:rPr>
        <w:t xml:space="preserve"> UL slot for unpaired spectrum</w:t>
      </w:r>
      <w:r w:rsidR="006D3519">
        <w:rPr>
          <w:rFonts w:eastAsiaTheme="minorEastAsia" w:hint="eastAsia"/>
          <w:sz w:val="20"/>
          <w:lang w:val="en-US"/>
        </w:rPr>
        <w:t xml:space="preserve">. </w:t>
      </w:r>
      <w:r w:rsidR="0063202A">
        <w:rPr>
          <w:rFonts w:eastAsiaTheme="minorEastAsia" w:hint="eastAsia"/>
          <w:sz w:val="20"/>
          <w:lang w:val="en-US"/>
        </w:rPr>
        <w:t xml:space="preserve">In such a case, SL is transmitting in CC1 while </w:t>
      </w:r>
      <w:proofErr w:type="spellStart"/>
      <w:r w:rsidR="0063202A">
        <w:rPr>
          <w:rFonts w:eastAsiaTheme="minorEastAsia" w:hint="eastAsia"/>
          <w:sz w:val="20"/>
          <w:lang w:val="en-US"/>
        </w:rPr>
        <w:t>Uu</w:t>
      </w:r>
      <w:proofErr w:type="spellEnd"/>
      <w:r w:rsidR="0063202A">
        <w:rPr>
          <w:rFonts w:eastAsiaTheme="minorEastAsia" w:hint="eastAsia"/>
          <w:sz w:val="20"/>
          <w:lang w:val="en-US"/>
        </w:rPr>
        <w:t xml:space="preserve"> is transmitting in CC2.</w:t>
      </w:r>
      <w:r w:rsidR="004C7819">
        <w:rPr>
          <w:rFonts w:eastAsiaTheme="minorEastAsia" w:hint="eastAsia"/>
          <w:sz w:val="20"/>
          <w:lang w:val="en-US"/>
        </w:rPr>
        <w:t xml:space="preserve"> Providing that </w:t>
      </w:r>
      <w:proofErr w:type="spellStart"/>
      <w:r w:rsidR="004C7819">
        <w:rPr>
          <w:rFonts w:eastAsiaTheme="minorEastAsia" w:hint="eastAsia"/>
          <w:sz w:val="20"/>
          <w:lang w:val="en-US"/>
        </w:rPr>
        <w:t>Uu</w:t>
      </w:r>
      <w:proofErr w:type="spellEnd"/>
      <w:r w:rsidR="004C7819">
        <w:rPr>
          <w:rFonts w:eastAsiaTheme="minorEastAsia" w:hint="eastAsia"/>
          <w:sz w:val="20"/>
          <w:lang w:val="en-US"/>
        </w:rPr>
        <w:t xml:space="preserve"> carrier and SL carrier is time aligned, i.e. same UL/DL slot configuration, simultaneous SL </w:t>
      </w:r>
      <w:proofErr w:type="spellStart"/>
      <w:proofErr w:type="gramStart"/>
      <w:r w:rsidR="004C7819">
        <w:rPr>
          <w:rFonts w:eastAsiaTheme="minorEastAsia" w:hint="eastAsia"/>
          <w:sz w:val="20"/>
          <w:lang w:val="en-US"/>
        </w:rPr>
        <w:t>Tx</w:t>
      </w:r>
      <w:proofErr w:type="spellEnd"/>
      <w:proofErr w:type="gramEnd"/>
      <w:r w:rsidR="004C7819">
        <w:rPr>
          <w:rFonts w:eastAsiaTheme="minorEastAsia" w:hint="eastAsia"/>
          <w:sz w:val="20"/>
          <w:lang w:val="en-US"/>
        </w:rPr>
        <w:t xml:space="preserve"> and DL Rx does not happen within a device.</w:t>
      </w:r>
    </w:p>
    <w:p w:rsidR="00AF5BBB" w:rsidRDefault="00AF5BBB" w:rsidP="00417EBC">
      <w:pPr>
        <w:spacing w:before="0" w:after="120"/>
        <w:jc w:val="left"/>
        <w:rPr>
          <w:rFonts w:eastAsiaTheme="minorEastAsia"/>
          <w:sz w:val="20"/>
          <w:lang w:val="en-US"/>
        </w:rPr>
      </w:pPr>
      <w:r>
        <w:rPr>
          <w:rFonts w:eastAsiaTheme="minorEastAsia" w:hint="eastAsia"/>
          <w:sz w:val="20"/>
          <w:lang w:val="en-US"/>
        </w:rPr>
        <w:t xml:space="preserve">To </w:t>
      </w:r>
      <w:r>
        <w:rPr>
          <w:rFonts w:eastAsiaTheme="minorEastAsia"/>
          <w:sz w:val="20"/>
          <w:lang w:val="en-US"/>
        </w:rPr>
        <w:t>avoid</w:t>
      </w:r>
      <w:r>
        <w:rPr>
          <w:rFonts w:eastAsiaTheme="minorEastAsia" w:hint="eastAsia"/>
          <w:sz w:val="20"/>
          <w:lang w:val="en-US"/>
        </w:rPr>
        <w:t xml:space="preserve"> </w:t>
      </w:r>
      <w:r w:rsidR="004978B1">
        <w:rPr>
          <w:rFonts w:eastAsiaTheme="minorEastAsia" w:hint="eastAsia"/>
          <w:sz w:val="20"/>
          <w:lang w:val="en-US"/>
        </w:rPr>
        <w:t>self-interference</w:t>
      </w:r>
      <w:r>
        <w:rPr>
          <w:rFonts w:eastAsiaTheme="minorEastAsia" w:hint="eastAsia"/>
          <w:sz w:val="20"/>
          <w:lang w:val="en-US"/>
        </w:rPr>
        <w:t xml:space="preserve"> </w:t>
      </w:r>
      <w:r w:rsidR="00B61AF3">
        <w:rPr>
          <w:rFonts w:eastAsiaTheme="minorEastAsia" w:hint="eastAsia"/>
          <w:sz w:val="20"/>
          <w:lang w:val="en-US"/>
        </w:rPr>
        <w:t xml:space="preserve">of simultaneous </w:t>
      </w:r>
      <w:r w:rsidR="004978B1">
        <w:rPr>
          <w:rFonts w:eastAsiaTheme="minorEastAsia" w:hint="eastAsia"/>
          <w:sz w:val="20"/>
          <w:lang w:val="en-US"/>
        </w:rPr>
        <w:t xml:space="preserve">UL </w:t>
      </w:r>
      <w:proofErr w:type="spellStart"/>
      <w:proofErr w:type="gramStart"/>
      <w:r w:rsidR="004978B1">
        <w:rPr>
          <w:rFonts w:eastAsiaTheme="minorEastAsia" w:hint="eastAsia"/>
          <w:sz w:val="20"/>
          <w:lang w:val="en-US"/>
        </w:rPr>
        <w:t>Tx</w:t>
      </w:r>
      <w:proofErr w:type="spellEnd"/>
      <w:proofErr w:type="gramEnd"/>
      <w:r w:rsidR="004978B1">
        <w:rPr>
          <w:rFonts w:eastAsiaTheme="minorEastAsia" w:hint="eastAsia"/>
          <w:sz w:val="20"/>
          <w:lang w:val="en-US"/>
        </w:rPr>
        <w:t xml:space="preserve"> </w:t>
      </w:r>
      <w:r>
        <w:rPr>
          <w:rFonts w:eastAsiaTheme="minorEastAsia" w:hint="eastAsia"/>
          <w:sz w:val="20"/>
          <w:lang w:val="en-US"/>
        </w:rPr>
        <w:t>and SL</w:t>
      </w:r>
      <w:r w:rsidR="004978B1">
        <w:rPr>
          <w:rFonts w:eastAsiaTheme="minorEastAsia" w:hint="eastAsia"/>
          <w:sz w:val="20"/>
          <w:lang w:val="en-US"/>
        </w:rPr>
        <w:t xml:space="preserve"> Rx</w:t>
      </w:r>
      <w:r>
        <w:rPr>
          <w:rFonts w:eastAsiaTheme="minorEastAsia" w:hint="eastAsia"/>
          <w:sz w:val="20"/>
          <w:lang w:val="en-US"/>
        </w:rPr>
        <w:t>, two solutions are derived:</w:t>
      </w:r>
    </w:p>
    <w:p w:rsidR="00AF5BBB" w:rsidRPr="009A3E3A" w:rsidRDefault="00AF5BBB" w:rsidP="00E17DC4">
      <w:pPr>
        <w:spacing w:before="0" w:after="120"/>
        <w:ind w:leftChars="400" w:left="840"/>
        <w:jc w:val="left"/>
        <w:rPr>
          <w:rFonts w:eastAsiaTheme="minorEastAsia"/>
          <w:i/>
          <w:sz w:val="20"/>
          <w:lang w:val="en-US"/>
        </w:rPr>
      </w:pPr>
      <w:r w:rsidRPr="009A3E3A">
        <w:rPr>
          <w:rFonts w:eastAsiaTheme="minorEastAsia" w:hint="eastAsia"/>
          <w:i/>
          <w:sz w:val="20"/>
          <w:lang w:val="en-US"/>
        </w:rPr>
        <w:t xml:space="preserve">Solution 1: Introduce frequency separation </w:t>
      </w:r>
      <w:r w:rsidR="002865FA" w:rsidRPr="009A3E3A">
        <w:rPr>
          <w:rFonts w:eastAsiaTheme="minorEastAsia" w:hint="eastAsia"/>
          <w:i/>
          <w:sz w:val="20"/>
          <w:lang w:val="en-US"/>
        </w:rPr>
        <w:t xml:space="preserve">between </w:t>
      </w:r>
      <w:proofErr w:type="spellStart"/>
      <w:r w:rsidR="002865FA" w:rsidRPr="009A3E3A">
        <w:rPr>
          <w:rFonts w:eastAsiaTheme="minorEastAsia" w:hint="eastAsia"/>
          <w:i/>
          <w:sz w:val="20"/>
          <w:lang w:val="en-US"/>
        </w:rPr>
        <w:t>Uu</w:t>
      </w:r>
      <w:proofErr w:type="spellEnd"/>
      <w:r w:rsidR="002865FA" w:rsidRPr="009A3E3A">
        <w:rPr>
          <w:rFonts w:eastAsiaTheme="minorEastAsia" w:hint="eastAsia"/>
          <w:i/>
          <w:sz w:val="20"/>
          <w:lang w:val="en-US"/>
        </w:rPr>
        <w:t xml:space="preserve"> and SL</w:t>
      </w:r>
    </w:p>
    <w:p w:rsidR="00AF5BBB" w:rsidRPr="009A3E3A" w:rsidRDefault="00AF5BBB" w:rsidP="00E17DC4">
      <w:pPr>
        <w:spacing w:before="0" w:after="120"/>
        <w:ind w:leftChars="400" w:left="840"/>
        <w:jc w:val="left"/>
        <w:rPr>
          <w:rFonts w:eastAsiaTheme="minorEastAsia"/>
          <w:i/>
          <w:sz w:val="20"/>
        </w:rPr>
      </w:pPr>
      <w:r w:rsidRPr="009A3E3A">
        <w:rPr>
          <w:rFonts w:eastAsiaTheme="minorEastAsia" w:hint="eastAsia"/>
          <w:i/>
          <w:sz w:val="20"/>
          <w:lang w:val="en-US"/>
        </w:rPr>
        <w:t xml:space="preserve">Solution 2: </w:t>
      </w:r>
      <w:r w:rsidR="009A3E3A" w:rsidRPr="009A3E3A">
        <w:rPr>
          <w:rFonts w:eastAsiaTheme="minorEastAsia" w:hint="eastAsia"/>
          <w:i/>
          <w:sz w:val="20"/>
          <w:lang w:val="en-US"/>
        </w:rPr>
        <w:t xml:space="preserve">Not allow </w:t>
      </w:r>
      <w:r w:rsidR="00CB1B4E">
        <w:rPr>
          <w:rFonts w:eastAsiaTheme="minorEastAsia" w:hint="eastAsia"/>
          <w:i/>
          <w:sz w:val="20"/>
          <w:lang w:val="en-US"/>
        </w:rPr>
        <w:t xml:space="preserve">simultaneous UL </w:t>
      </w:r>
      <w:proofErr w:type="spellStart"/>
      <w:proofErr w:type="gramStart"/>
      <w:r w:rsidR="00CB1B4E">
        <w:rPr>
          <w:rFonts w:eastAsiaTheme="minorEastAsia" w:hint="eastAsia"/>
          <w:i/>
          <w:sz w:val="20"/>
          <w:lang w:val="en-US"/>
        </w:rPr>
        <w:t>Tx</w:t>
      </w:r>
      <w:proofErr w:type="spellEnd"/>
      <w:proofErr w:type="gramEnd"/>
      <w:r w:rsidR="00CB1B4E">
        <w:rPr>
          <w:rFonts w:eastAsiaTheme="minorEastAsia" w:hint="eastAsia"/>
          <w:i/>
          <w:sz w:val="20"/>
          <w:lang w:val="en-US"/>
        </w:rPr>
        <w:t xml:space="preserve"> and SL Rx </w:t>
      </w:r>
    </w:p>
    <w:p w:rsidR="001E6FBB" w:rsidRDefault="00933AAF" w:rsidP="00D607F9">
      <w:pPr>
        <w:tabs>
          <w:tab w:val="left" w:pos="4200"/>
        </w:tabs>
        <w:spacing w:before="0" w:after="120"/>
        <w:jc w:val="left"/>
        <w:rPr>
          <w:sz w:val="20"/>
        </w:rPr>
      </w:pPr>
      <w:r>
        <w:rPr>
          <w:rFonts w:hint="eastAsia"/>
          <w:sz w:val="20"/>
        </w:rPr>
        <w:t xml:space="preserve">For </w:t>
      </w:r>
      <w:r w:rsidRPr="004D1CAC">
        <w:rPr>
          <w:rFonts w:hint="eastAsia"/>
          <w:i/>
          <w:sz w:val="20"/>
        </w:rPr>
        <w:t>Solution 1</w:t>
      </w:r>
      <w:r>
        <w:rPr>
          <w:rFonts w:hint="eastAsia"/>
          <w:sz w:val="20"/>
        </w:rPr>
        <w:t>, operator request</w:t>
      </w:r>
      <w:r w:rsidR="009B5DCC">
        <w:rPr>
          <w:rFonts w:hint="eastAsia"/>
          <w:sz w:val="20"/>
        </w:rPr>
        <w:t xml:space="preserve"> should be considered </w:t>
      </w:r>
      <w:r w:rsidR="00F72BFE">
        <w:rPr>
          <w:rFonts w:hint="eastAsia"/>
          <w:sz w:val="20"/>
        </w:rPr>
        <w:t xml:space="preserve">to determine whether to introduce a certain frequency separation between </w:t>
      </w:r>
      <w:proofErr w:type="spellStart"/>
      <w:r w:rsidR="00F72BFE">
        <w:rPr>
          <w:rFonts w:hint="eastAsia"/>
          <w:sz w:val="20"/>
        </w:rPr>
        <w:t>Uu</w:t>
      </w:r>
      <w:proofErr w:type="spellEnd"/>
      <w:r w:rsidR="00F72BFE">
        <w:rPr>
          <w:rFonts w:hint="eastAsia"/>
          <w:sz w:val="20"/>
        </w:rPr>
        <w:t xml:space="preserve"> and SL.</w:t>
      </w:r>
      <w:r w:rsidR="00874E46">
        <w:rPr>
          <w:rFonts w:hint="eastAsia"/>
          <w:sz w:val="20"/>
        </w:rPr>
        <w:t xml:space="preserve"> I</w:t>
      </w:r>
      <w:r w:rsidR="007D6AEC">
        <w:rPr>
          <w:rFonts w:hint="eastAsia"/>
          <w:sz w:val="20"/>
        </w:rPr>
        <w:t xml:space="preserve">t is </w:t>
      </w:r>
      <w:r w:rsidR="00874E46">
        <w:rPr>
          <w:rFonts w:hint="eastAsia"/>
          <w:sz w:val="20"/>
        </w:rPr>
        <w:t xml:space="preserve">also </w:t>
      </w:r>
      <w:r w:rsidR="007D6AEC">
        <w:rPr>
          <w:rFonts w:hint="eastAsia"/>
          <w:sz w:val="20"/>
        </w:rPr>
        <w:t>not clear of how to apply frequency separation</w:t>
      </w:r>
      <w:r w:rsidR="00874E46">
        <w:rPr>
          <w:rFonts w:hint="eastAsia"/>
          <w:sz w:val="20"/>
        </w:rPr>
        <w:t xml:space="preserve"> into RF requirements</w:t>
      </w:r>
      <w:r w:rsidR="007D6AEC">
        <w:rPr>
          <w:rFonts w:hint="eastAsia"/>
          <w:sz w:val="20"/>
        </w:rPr>
        <w:t>.</w:t>
      </w:r>
      <w:r w:rsidR="00874E46">
        <w:rPr>
          <w:rFonts w:hint="eastAsia"/>
          <w:sz w:val="20"/>
        </w:rPr>
        <w:t xml:space="preserve"> </w:t>
      </w:r>
      <w:r w:rsidR="001E6FBB">
        <w:rPr>
          <w:rFonts w:hint="eastAsia"/>
          <w:sz w:val="20"/>
        </w:rPr>
        <w:t xml:space="preserve">In terms of </w:t>
      </w:r>
      <w:r w:rsidR="00CC0083">
        <w:rPr>
          <w:rFonts w:hint="eastAsia"/>
          <w:sz w:val="20"/>
        </w:rPr>
        <w:t xml:space="preserve">intra-band contiguous and non-contiguous CA, it should be noted that the minimum requirements only apply for non-simultaneous </w:t>
      </w:r>
      <w:proofErr w:type="spellStart"/>
      <w:proofErr w:type="gramStart"/>
      <w:r w:rsidR="00CC0083">
        <w:rPr>
          <w:rFonts w:hint="eastAsia"/>
          <w:sz w:val="20"/>
        </w:rPr>
        <w:t>Tx</w:t>
      </w:r>
      <w:proofErr w:type="spellEnd"/>
      <w:proofErr w:type="gramEnd"/>
      <w:r w:rsidR="00CC0083">
        <w:rPr>
          <w:rFonts w:hint="eastAsia"/>
          <w:sz w:val="20"/>
        </w:rPr>
        <w:t>/ Rx between all carrier for TDD combinations.</w:t>
      </w:r>
      <w:r w:rsidR="009D1106">
        <w:rPr>
          <w:rFonts w:hint="eastAsia"/>
          <w:sz w:val="20"/>
        </w:rPr>
        <w:t xml:space="preserve"> </w:t>
      </w:r>
      <w:r w:rsidR="004C7819">
        <w:rPr>
          <w:rFonts w:hint="eastAsia"/>
          <w:sz w:val="20"/>
        </w:rPr>
        <w:t>In other words, f</w:t>
      </w:r>
      <w:r w:rsidR="000C7149">
        <w:rPr>
          <w:rFonts w:hint="eastAsia"/>
          <w:sz w:val="20"/>
        </w:rPr>
        <w:t xml:space="preserve">requency separation is not </w:t>
      </w:r>
      <w:r w:rsidR="004C7819">
        <w:rPr>
          <w:rFonts w:hint="eastAsia"/>
          <w:sz w:val="20"/>
        </w:rPr>
        <w:t xml:space="preserve">taken into account from standard standpoint to protect Rx reception from </w:t>
      </w:r>
      <w:proofErr w:type="spellStart"/>
      <w:proofErr w:type="gramStart"/>
      <w:r w:rsidR="000C7149">
        <w:rPr>
          <w:rFonts w:hint="eastAsia"/>
          <w:sz w:val="20"/>
        </w:rPr>
        <w:t>Tx</w:t>
      </w:r>
      <w:proofErr w:type="spellEnd"/>
      <w:proofErr w:type="gramEnd"/>
      <w:r w:rsidR="000C7149">
        <w:rPr>
          <w:rFonts w:hint="eastAsia"/>
          <w:sz w:val="20"/>
        </w:rPr>
        <w:t xml:space="preserve"> transmission</w:t>
      </w:r>
      <w:r w:rsidR="00E17DC4">
        <w:rPr>
          <w:rFonts w:hint="eastAsia"/>
          <w:sz w:val="20"/>
        </w:rPr>
        <w:t xml:space="preserve"> for intra-band CA</w:t>
      </w:r>
      <w:r w:rsidR="000C7149">
        <w:rPr>
          <w:rFonts w:hint="eastAsia"/>
          <w:sz w:val="20"/>
        </w:rPr>
        <w:t xml:space="preserve">. </w:t>
      </w:r>
      <w:r w:rsidR="004C7819">
        <w:rPr>
          <w:rFonts w:hint="eastAsia"/>
          <w:sz w:val="20"/>
        </w:rPr>
        <w:t>Also f</w:t>
      </w:r>
      <w:r w:rsidR="00E17DC4">
        <w:rPr>
          <w:rFonts w:hint="eastAsia"/>
          <w:sz w:val="20"/>
        </w:rPr>
        <w:t>rom the perspective of implementation, i</w:t>
      </w:r>
      <w:r w:rsidR="009D1106">
        <w:rPr>
          <w:rFonts w:hint="eastAsia"/>
          <w:sz w:val="20"/>
        </w:rPr>
        <w:t xml:space="preserve">t is difficult </w:t>
      </w:r>
      <w:r w:rsidR="00874E46">
        <w:rPr>
          <w:rFonts w:hint="eastAsia"/>
          <w:sz w:val="20"/>
        </w:rPr>
        <w:t xml:space="preserve">for filter </w:t>
      </w:r>
      <w:r w:rsidR="009D1106">
        <w:rPr>
          <w:rFonts w:hint="eastAsia"/>
          <w:sz w:val="20"/>
        </w:rPr>
        <w:t xml:space="preserve">to mitigate the self-interference arising from </w:t>
      </w:r>
      <w:r w:rsidR="009D1106">
        <w:rPr>
          <w:sz w:val="20"/>
        </w:rPr>
        <w:t>simultaneous</w:t>
      </w:r>
      <w:r w:rsidR="009D1106">
        <w:rPr>
          <w:rFonts w:hint="eastAsia"/>
          <w:sz w:val="20"/>
        </w:rPr>
        <w:t xml:space="preserve"> </w:t>
      </w:r>
      <w:proofErr w:type="spellStart"/>
      <w:r w:rsidR="009D1106">
        <w:rPr>
          <w:rFonts w:hint="eastAsia"/>
          <w:sz w:val="20"/>
        </w:rPr>
        <w:t>Tx</w:t>
      </w:r>
      <w:proofErr w:type="spellEnd"/>
      <w:r w:rsidR="009D1106">
        <w:rPr>
          <w:rFonts w:hint="eastAsia"/>
          <w:sz w:val="20"/>
        </w:rPr>
        <w:t xml:space="preserve">/Rx </w:t>
      </w:r>
      <w:r w:rsidR="00CE6F5C">
        <w:rPr>
          <w:rFonts w:hint="eastAsia"/>
          <w:sz w:val="20"/>
        </w:rPr>
        <w:t>within a band</w:t>
      </w:r>
      <w:r w:rsidR="009D1106">
        <w:rPr>
          <w:rFonts w:hint="eastAsia"/>
          <w:sz w:val="20"/>
        </w:rPr>
        <w:t>.</w:t>
      </w:r>
      <w:r w:rsidR="00874E46">
        <w:rPr>
          <w:rFonts w:hint="eastAsia"/>
          <w:sz w:val="20"/>
        </w:rPr>
        <w:t xml:space="preserve"> </w:t>
      </w:r>
    </w:p>
    <w:p w:rsidR="00835C1E" w:rsidRPr="00835C1E" w:rsidRDefault="00835C1E" w:rsidP="00D607F9">
      <w:pPr>
        <w:tabs>
          <w:tab w:val="left" w:pos="4200"/>
        </w:tabs>
        <w:spacing w:before="0" w:after="120"/>
        <w:jc w:val="left"/>
        <w:rPr>
          <w:b/>
          <w:sz w:val="20"/>
        </w:rPr>
      </w:pPr>
      <w:r>
        <w:rPr>
          <w:rFonts w:hint="eastAsia"/>
          <w:b/>
          <w:sz w:val="20"/>
        </w:rPr>
        <w:t>Observation 1:</w:t>
      </w:r>
      <w:r w:rsidR="003A1164">
        <w:rPr>
          <w:rFonts w:hint="eastAsia"/>
          <w:b/>
          <w:sz w:val="20"/>
        </w:rPr>
        <w:t xml:space="preserve"> </w:t>
      </w:r>
      <w:r w:rsidR="003A1164" w:rsidRPr="003A1164">
        <w:rPr>
          <w:rFonts w:hint="eastAsia"/>
          <w:b/>
          <w:sz w:val="20"/>
        </w:rPr>
        <w:t xml:space="preserve">In terms of intra-band contiguous and non-contiguous CA, it should be noted that the minimum requirements only apply for non-simultaneous </w:t>
      </w:r>
      <w:proofErr w:type="spellStart"/>
      <w:proofErr w:type="gramStart"/>
      <w:r w:rsidR="003A1164" w:rsidRPr="003A1164">
        <w:rPr>
          <w:rFonts w:hint="eastAsia"/>
          <w:b/>
          <w:sz w:val="20"/>
        </w:rPr>
        <w:t>Tx</w:t>
      </w:r>
      <w:proofErr w:type="spellEnd"/>
      <w:proofErr w:type="gramEnd"/>
      <w:r w:rsidR="003A1164" w:rsidRPr="003A1164">
        <w:rPr>
          <w:rFonts w:hint="eastAsia"/>
          <w:b/>
          <w:sz w:val="20"/>
        </w:rPr>
        <w:t>/ Rx between all carrier for TDD combinations.</w:t>
      </w:r>
      <w:r w:rsidR="007350CD">
        <w:rPr>
          <w:rFonts w:hint="eastAsia"/>
          <w:b/>
          <w:sz w:val="20"/>
        </w:rPr>
        <w:t xml:space="preserve"> </w:t>
      </w:r>
      <w:r w:rsidR="004C7819" w:rsidRPr="004C7819">
        <w:rPr>
          <w:rFonts w:hint="eastAsia"/>
          <w:b/>
          <w:sz w:val="20"/>
        </w:rPr>
        <w:t xml:space="preserve">In other words, frequency separation is not taken into account from standard standpoint to protect Rx reception from </w:t>
      </w:r>
      <w:proofErr w:type="spellStart"/>
      <w:proofErr w:type="gramStart"/>
      <w:r w:rsidR="004C7819" w:rsidRPr="004C7819">
        <w:rPr>
          <w:rFonts w:hint="eastAsia"/>
          <w:b/>
          <w:sz w:val="20"/>
        </w:rPr>
        <w:t>Tx</w:t>
      </w:r>
      <w:proofErr w:type="spellEnd"/>
      <w:proofErr w:type="gramEnd"/>
      <w:r w:rsidR="004C7819" w:rsidRPr="004C7819">
        <w:rPr>
          <w:rFonts w:hint="eastAsia"/>
          <w:b/>
          <w:sz w:val="20"/>
        </w:rPr>
        <w:t xml:space="preserve"> transmission for intra-band CA.</w:t>
      </w:r>
    </w:p>
    <w:p w:rsidR="0067055E" w:rsidRPr="007B16EC" w:rsidRDefault="00CE6F5C" w:rsidP="00D607F9">
      <w:pPr>
        <w:tabs>
          <w:tab w:val="left" w:pos="4200"/>
        </w:tabs>
        <w:spacing w:before="0" w:after="120"/>
        <w:jc w:val="left"/>
        <w:rPr>
          <w:sz w:val="20"/>
        </w:rPr>
      </w:pPr>
      <w:r>
        <w:rPr>
          <w:rFonts w:hint="eastAsia"/>
          <w:sz w:val="20"/>
        </w:rPr>
        <w:t>Non-contiguous intra-band V2X con-current operation is considered as 3</w:t>
      </w:r>
      <w:r w:rsidRPr="00CE6F5C">
        <w:rPr>
          <w:rFonts w:hint="eastAsia"/>
          <w:sz w:val="20"/>
          <w:vertAlign w:val="superscript"/>
        </w:rPr>
        <w:t>rd</w:t>
      </w:r>
      <w:r>
        <w:rPr>
          <w:rFonts w:hint="eastAsia"/>
          <w:sz w:val="20"/>
        </w:rPr>
        <w:t xml:space="preserve"> priority.</w:t>
      </w:r>
      <w:r w:rsidR="007932D7">
        <w:rPr>
          <w:rFonts w:hint="eastAsia"/>
          <w:sz w:val="20"/>
        </w:rPr>
        <w:t xml:space="preserve"> I</w:t>
      </w:r>
      <w:r w:rsidR="004D4C3B">
        <w:rPr>
          <w:rFonts w:hint="eastAsia"/>
          <w:sz w:val="20"/>
        </w:rPr>
        <w:t>n Rel-17 timeline, i</w:t>
      </w:r>
      <w:r w:rsidR="00CB1B4E">
        <w:rPr>
          <w:rFonts w:hint="eastAsia"/>
          <w:sz w:val="20"/>
        </w:rPr>
        <w:t>t would be helpful to</w:t>
      </w:r>
      <w:r w:rsidR="00874E46">
        <w:rPr>
          <w:rFonts w:hint="eastAsia"/>
          <w:sz w:val="20"/>
        </w:rPr>
        <w:t xml:space="preserve"> adopt </w:t>
      </w:r>
      <w:r w:rsidR="00874E46" w:rsidRPr="00874E46">
        <w:rPr>
          <w:rFonts w:hint="eastAsia"/>
          <w:i/>
          <w:sz w:val="20"/>
        </w:rPr>
        <w:t>Solution 2</w:t>
      </w:r>
      <w:r w:rsidR="00874E46">
        <w:rPr>
          <w:rFonts w:hint="eastAsia"/>
          <w:sz w:val="20"/>
        </w:rPr>
        <w:t>, i.e.</w:t>
      </w:r>
      <w:r w:rsidR="00CB1B4E">
        <w:rPr>
          <w:rFonts w:hint="eastAsia"/>
          <w:sz w:val="20"/>
        </w:rPr>
        <w:t xml:space="preserve"> not allow </w:t>
      </w:r>
      <w:r w:rsidR="009D1106">
        <w:rPr>
          <w:rFonts w:hint="eastAsia"/>
          <w:sz w:val="20"/>
        </w:rPr>
        <w:t xml:space="preserve">simultaneous UL </w:t>
      </w:r>
      <w:proofErr w:type="spellStart"/>
      <w:proofErr w:type="gramStart"/>
      <w:r w:rsidR="009D1106">
        <w:rPr>
          <w:rFonts w:hint="eastAsia"/>
          <w:sz w:val="20"/>
        </w:rPr>
        <w:t>Tx</w:t>
      </w:r>
      <w:proofErr w:type="spellEnd"/>
      <w:proofErr w:type="gramEnd"/>
      <w:r w:rsidR="009D1106">
        <w:rPr>
          <w:rFonts w:hint="eastAsia"/>
          <w:sz w:val="20"/>
        </w:rPr>
        <w:t xml:space="preserve"> and SL Rx</w:t>
      </w:r>
      <w:r>
        <w:rPr>
          <w:rFonts w:hint="eastAsia"/>
          <w:sz w:val="20"/>
        </w:rPr>
        <w:t xml:space="preserve"> for </w:t>
      </w:r>
      <w:r w:rsidR="00874E46">
        <w:rPr>
          <w:rFonts w:hint="eastAsia"/>
          <w:sz w:val="20"/>
        </w:rPr>
        <w:t xml:space="preserve">intra-band </w:t>
      </w:r>
      <w:r>
        <w:rPr>
          <w:rFonts w:hint="eastAsia"/>
          <w:sz w:val="20"/>
        </w:rPr>
        <w:t>non-contiguous V2X con-current operation</w:t>
      </w:r>
      <w:r w:rsidR="009D1106">
        <w:rPr>
          <w:rFonts w:hint="eastAsia"/>
          <w:sz w:val="20"/>
        </w:rPr>
        <w:t>.</w:t>
      </w:r>
    </w:p>
    <w:p w:rsidR="007B16EC" w:rsidRDefault="00835C1E" w:rsidP="00417EBC">
      <w:pPr>
        <w:spacing w:before="0" w:after="120"/>
        <w:jc w:val="left"/>
        <w:rPr>
          <w:b/>
          <w:sz w:val="20"/>
        </w:rPr>
      </w:pPr>
      <w:r w:rsidRPr="00835C1E">
        <w:rPr>
          <w:rFonts w:hint="eastAsia"/>
          <w:b/>
          <w:sz w:val="20"/>
        </w:rPr>
        <w:t>Proposal 1:</w:t>
      </w:r>
      <w:r w:rsidR="003A1164">
        <w:rPr>
          <w:rFonts w:hint="eastAsia"/>
          <w:b/>
          <w:sz w:val="20"/>
        </w:rPr>
        <w:t xml:space="preserve"> Not allow simultaneous </w:t>
      </w:r>
      <w:r w:rsidR="004978B1">
        <w:rPr>
          <w:rFonts w:hint="eastAsia"/>
          <w:b/>
          <w:sz w:val="20"/>
        </w:rPr>
        <w:t xml:space="preserve">UL </w:t>
      </w:r>
      <w:proofErr w:type="spellStart"/>
      <w:proofErr w:type="gramStart"/>
      <w:r w:rsidR="004548D4">
        <w:rPr>
          <w:rFonts w:hint="eastAsia"/>
          <w:b/>
          <w:sz w:val="20"/>
        </w:rPr>
        <w:t>Tx</w:t>
      </w:r>
      <w:proofErr w:type="spellEnd"/>
      <w:proofErr w:type="gramEnd"/>
      <w:r w:rsidR="004548D4">
        <w:rPr>
          <w:rFonts w:hint="eastAsia"/>
          <w:b/>
          <w:sz w:val="20"/>
        </w:rPr>
        <w:t xml:space="preserve"> and SL Rx for non-contiguous </w:t>
      </w:r>
      <w:r w:rsidR="004978B1">
        <w:rPr>
          <w:rFonts w:hint="eastAsia"/>
          <w:b/>
          <w:sz w:val="20"/>
        </w:rPr>
        <w:t xml:space="preserve">V2X </w:t>
      </w:r>
      <w:r w:rsidR="00052FD4">
        <w:rPr>
          <w:rFonts w:hint="eastAsia"/>
          <w:b/>
          <w:sz w:val="20"/>
        </w:rPr>
        <w:t xml:space="preserve">intra-band </w:t>
      </w:r>
      <w:r w:rsidR="004978B1">
        <w:rPr>
          <w:rFonts w:hint="eastAsia"/>
          <w:b/>
          <w:sz w:val="20"/>
        </w:rPr>
        <w:t>con-current operation</w:t>
      </w:r>
      <w:r w:rsidR="004D4C3B">
        <w:rPr>
          <w:rFonts w:hint="eastAsia"/>
          <w:b/>
          <w:sz w:val="20"/>
        </w:rPr>
        <w:t xml:space="preserve"> like contiguous case</w:t>
      </w:r>
      <w:r w:rsidR="004978B1">
        <w:rPr>
          <w:rFonts w:hint="eastAsia"/>
          <w:b/>
          <w:sz w:val="20"/>
        </w:rPr>
        <w:t xml:space="preserve">.  </w:t>
      </w:r>
    </w:p>
    <w:p w:rsidR="00103D30" w:rsidRPr="004B6120" w:rsidRDefault="00103D30" w:rsidP="00417EBC">
      <w:pPr>
        <w:spacing w:before="0" w:after="120"/>
        <w:jc w:val="left"/>
        <w:rPr>
          <w:sz w:val="20"/>
        </w:rPr>
      </w:pPr>
      <w:r w:rsidRPr="004B6120">
        <w:rPr>
          <w:rFonts w:hint="eastAsia"/>
          <w:sz w:val="20"/>
        </w:rPr>
        <w:t xml:space="preserve">If RAN4 decide to not allow simultaneous UL </w:t>
      </w:r>
      <w:proofErr w:type="spellStart"/>
      <w:proofErr w:type="gramStart"/>
      <w:r w:rsidRPr="004B6120">
        <w:rPr>
          <w:rFonts w:hint="eastAsia"/>
          <w:sz w:val="20"/>
        </w:rPr>
        <w:t>Tx</w:t>
      </w:r>
      <w:proofErr w:type="spellEnd"/>
      <w:proofErr w:type="gramEnd"/>
      <w:r w:rsidRPr="004B6120">
        <w:rPr>
          <w:rFonts w:hint="eastAsia"/>
          <w:sz w:val="20"/>
        </w:rPr>
        <w:t xml:space="preserve"> and SL Rx for </w:t>
      </w:r>
      <w:r w:rsidR="00925B40">
        <w:rPr>
          <w:rFonts w:hint="eastAsia"/>
          <w:sz w:val="20"/>
        </w:rPr>
        <w:t xml:space="preserve">both intra-band </w:t>
      </w:r>
      <w:r w:rsidRPr="004B6120">
        <w:rPr>
          <w:rFonts w:hint="eastAsia"/>
          <w:sz w:val="20"/>
        </w:rPr>
        <w:t>contiguous and non-contiguous V2X</w:t>
      </w:r>
      <w:r w:rsidR="00052FD4">
        <w:rPr>
          <w:rFonts w:hint="eastAsia"/>
          <w:sz w:val="20"/>
        </w:rPr>
        <w:t xml:space="preserve"> </w:t>
      </w:r>
      <w:r w:rsidRPr="004B6120">
        <w:rPr>
          <w:rFonts w:hint="eastAsia"/>
          <w:sz w:val="20"/>
        </w:rPr>
        <w:t xml:space="preserve">con-current operation, </w:t>
      </w:r>
      <w:r w:rsidRPr="004B6120">
        <w:rPr>
          <w:sz w:val="20"/>
        </w:rPr>
        <w:t>the</w:t>
      </w:r>
      <w:r w:rsidRPr="004B6120">
        <w:rPr>
          <w:rFonts w:hint="eastAsia"/>
          <w:sz w:val="20"/>
        </w:rPr>
        <w:t xml:space="preserve"> subsequent issue is to how to enable one RAT </w:t>
      </w:r>
      <w:r w:rsidR="004B6120">
        <w:rPr>
          <w:rFonts w:hint="eastAsia"/>
          <w:sz w:val="20"/>
        </w:rPr>
        <w:t>and interrupt the other</w:t>
      </w:r>
      <w:r w:rsidR="006E4B52">
        <w:rPr>
          <w:rFonts w:hint="eastAsia"/>
          <w:sz w:val="20"/>
        </w:rPr>
        <w:t xml:space="preserve"> at a certain time</w:t>
      </w:r>
      <w:r w:rsidR="004B6120">
        <w:rPr>
          <w:rFonts w:hint="eastAsia"/>
          <w:sz w:val="20"/>
        </w:rPr>
        <w:t xml:space="preserve">. </w:t>
      </w:r>
      <w:r w:rsidR="004A3DD1">
        <w:rPr>
          <w:rFonts w:hint="eastAsia"/>
          <w:sz w:val="20"/>
        </w:rPr>
        <w:t xml:space="preserve">It falls into RAN1 domain. </w:t>
      </w:r>
      <w:r w:rsidR="00E62AFB">
        <w:rPr>
          <w:rFonts w:hint="eastAsia"/>
          <w:sz w:val="20"/>
        </w:rPr>
        <w:t xml:space="preserve">RAN1 could decide </w:t>
      </w:r>
      <w:r w:rsidR="000757D2">
        <w:rPr>
          <w:rFonts w:hint="eastAsia"/>
          <w:sz w:val="20"/>
        </w:rPr>
        <w:t xml:space="preserve">how </w:t>
      </w:r>
      <w:r w:rsidR="00E62AFB">
        <w:rPr>
          <w:rFonts w:hint="eastAsia"/>
          <w:sz w:val="20"/>
        </w:rPr>
        <w:t xml:space="preserve">to design </w:t>
      </w:r>
      <w:r w:rsidR="00E62AFB">
        <w:rPr>
          <w:sz w:val="20"/>
        </w:rPr>
        <w:t>mechanism</w:t>
      </w:r>
      <w:r w:rsidR="00E62AFB">
        <w:rPr>
          <w:rFonts w:hint="eastAsia"/>
          <w:sz w:val="20"/>
        </w:rPr>
        <w:t xml:space="preserve"> </w:t>
      </w:r>
      <w:r w:rsidR="000757D2">
        <w:rPr>
          <w:rFonts w:hint="eastAsia"/>
          <w:sz w:val="20"/>
        </w:rPr>
        <w:t xml:space="preserve">to avoid </w:t>
      </w:r>
      <w:r w:rsidR="000757D2">
        <w:rPr>
          <w:sz w:val="20"/>
        </w:rPr>
        <w:t>simultaneous</w:t>
      </w:r>
      <w:r w:rsidR="000757D2">
        <w:rPr>
          <w:rFonts w:hint="eastAsia"/>
          <w:sz w:val="20"/>
        </w:rPr>
        <w:t xml:space="preserve"> UL </w:t>
      </w:r>
      <w:proofErr w:type="spellStart"/>
      <w:proofErr w:type="gramStart"/>
      <w:r w:rsidR="000757D2">
        <w:rPr>
          <w:rFonts w:hint="eastAsia"/>
          <w:sz w:val="20"/>
        </w:rPr>
        <w:t>Tx</w:t>
      </w:r>
      <w:proofErr w:type="spellEnd"/>
      <w:proofErr w:type="gramEnd"/>
      <w:r w:rsidR="000757D2">
        <w:rPr>
          <w:rFonts w:hint="eastAsia"/>
          <w:sz w:val="20"/>
        </w:rPr>
        <w:t xml:space="preserve"> and SL Rx, e.g. </w:t>
      </w:r>
      <w:r w:rsidR="00E62AFB">
        <w:rPr>
          <w:rFonts w:hint="eastAsia"/>
          <w:sz w:val="20"/>
        </w:rPr>
        <w:t>based on priority information of two RATs.</w:t>
      </w:r>
      <w:r w:rsidR="00D07385">
        <w:rPr>
          <w:rFonts w:hint="eastAsia"/>
          <w:sz w:val="20"/>
        </w:rPr>
        <w:t xml:space="preserve"> </w:t>
      </w:r>
      <w:r w:rsidR="00D07385" w:rsidRPr="00D07385">
        <w:rPr>
          <w:rFonts w:hint="eastAsia"/>
          <w:sz w:val="20"/>
        </w:rPr>
        <w:t xml:space="preserve">So it is proposed to send </w:t>
      </w:r>
      <w:r w:rsidR="00D07385" w:rsidRPr="00D07385">
        <w:rPr>
          <w:sz w:val="20"/>
        </w:rPr>
        <w:t>LS</w:t>
      </w:r>
      <w:r w:rsidR="00D07385" w:rsidRPr="00D07385">
        <w:rPr>
          <w:rFonts w:hint="eastAsia"/>
          <w:sz w:val="20"/>
        </w:rPr>
        <w:t xml:space="preserve"> to RAN1 to indicate RAN4 agreements w.r.t contiguous and non-contiguous V2X con-current operation within a licensed </w:t>
      </w:r>
      <w:r w:rsidR="00A9195D">
        <w:rPr>
          <w:rFonts w:hint="eastAsia"/>
          <w:sz w:val="20"/>
        </w:rPr>
        <w:t xml:space="preserve">TDD </w:t>
      </w:r>
      <w:r w:rsidR="00D07385" w:rsidRPr="00D07385">
        <w:rPr>
          <w:rFonts w:hint="eastAsia"/>
          <w:sz w:val="20"/>
        </w:rPr>
        <w:t>band.</w:t>
      </w:r>
    </w:p>
    <w:p w:rsidR="00103D30" w:rsidRPr="00135297" w:rsidRDefault="004B6120" w:rsidP="00417EBC">
      <w:pPr>
        <w:spacing w:before="0" w:after="120"/>
        <w:jc w:val="left"/>
        <w:rPr>
          <w:b/>
          <w:sz w:val="20"/>
        </w:rPr>
      </w:pPr>
      <w:r w:rsidRPr="00135297">
        <w:rPr>
          <w:rFonts w:hint="eastAsia"/>
          <w:b/>
          <w:sz w:val="20"/>
        </w:rPr>
        <w:t xml:space="preserve">Proposal 2: </w:t>
      </w:r>
      <w:r w:rsidR="00135297" w:rsidRPr="00135297">
        <w:rPr>
          <w:rFonts w:hint="eastAsia"/>
          <w:b/>
          <w:sz w:val="20"/>
        </w:rPr>
        <w:t>S</w:t>
      </w:r>
      <w:r w:rsidRPr="00135297">
        <w:rPr>
          <w:rFonts w:hint="eastAsia"/>
          <w:b/>
          <w:sz w:val="20"/>
        </w:rPr>
        <w:t xml:space="preserve">end </w:t>
      </w:r>
      <w:r w:rsidR="00135297" w:rsidRPr="00135297">
        <w:rPr>
          <w:b/>
          <w:sz w:val="20"/>
        </w:rPr>
        <w:t>LS</w:t>
      </w:r>
      <w:r w:rsidRPr="00135297">
        <w:rPr>
          <w:rFonts w:hint="eastAsia"/>
          <w:b/>
          <w:sz w:val="20"/>
        </w:rPr>
        <w:t xml:space="preserve"> to RAN1 to </w:t>
      </w:r>
      <w:r w:rsidR="00856C08">
        <w:rPr>
          <w:rFonts w:hint="eastAsia"/>
          <w:b/>
          <w:sz w:val="20"/>
        </w:rPr>
        <w:t xml:space="preserve">indicate </w:t>
      </w:r>
      <w:r w:rsidR="00135297" w:rsidRPr="00135297">
        <w:rPr>
          <w:rFonts w:hint="eastAsia"/>
          <w:b/>
          <w:sz w:val="20"/>
        </w:rPr>
        <w:t>RAN4 agreements w.r.t contiguous and non-contiguous V2X con-current operation</w:t>
      </w:r>
      <w:r w:rsidR="00135297">
        <w:rPr>
          <w:rFonts w:hint="eastAsia"/>
          <w:b/>
          <w:sz w:val="20"/>
        </w:rPr>
        <w:t xml:space="preserve"> within a licensed </w:t>
      </w:r>
      <w:r w:rsidR="00A9195D">
        <w:rPr>
          <w:rFonts w:hint="eastAsia"/>
          <w:b/>
          <w:sz w:val="20"/>
        </w:rPr>
        <w:t xml:space="preserve">TDD </w:t>
      </w:r>
      <w:r w:rsidR="00135297">
        <w:rPr>
          <w:rFonts w:hint="eastAsia"/>
          <w:b/>
          <w:sz w:val="20"/>
        </w:rPr>
        <w:t>band</w:t>
      </w:r>
      <w:r w:rsidR="00742647">
        <w:rPr>
          <w:rFonts w:hint="eastAsia"/>
          <w:b/>
          <w:sz w:val="20"/>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A77DD4">
        <w:rPr>
          <w:rFonts w:hint="eastAsia"/>
          <w:sz w:val="20"/>
          <w:lang w:val="en-US"/>
        </w:rPr>
        <w:t xml:space="preserve">discusses </w:t>
      </w:r>
      <w:r w:rsidR="00B44C90">
        <w:rPr>
          <w:rFonts w:hint="eastAsia"/>
          <w:sz w:val="20"/>
          <w:lang w:val="en-US"/>
        </w:rPr>
        <w:t xml:space="preserve">intra-band </w:t>
      </w:r>
      <w:r w:rsidR="008D6F8A">
        <w:rPr>
          <w:rFonts w:hint="eastAsia"/>
          <w:sz w:val="20"/>
          <w:lang w:val="en-US"/>
        </w:rPr>
        <w:t xml:space="preserve">non-contiguous V2X </w:t>
      </w:r>
      <w:r w:rsidR="00B44C90">
        <w:rPr>
          <w:rFonts w:hint="eastAsia"/>
          <w:sz w:val="20"/>
          <w:lang w:val="en-US"/>
        </w:rPr>
        <w:t xml:space="preserve">con-current </w:t>
      </w:r>
      <w:r w:rsidR="008D6F8A">
        <w:rPr>
          <w:rFonts w:hint="eastAsia"/>
          <w:sz w:val="20"/>
          <w:lang w:val="en-US"/>
        </w:rPr>
        <w:t>operation</w:t>
      </w:r>
      <w:r w:rsidR="00784284">
        <w:rPr>
          <w:rFonts w:hint="eastAsia"/>
          <w:sz w:val="20"/>
          <w:lang w:val="en-US"/>
        </w:rPr>
        <w:t xml:space="preserve">. The following </w:t>
      </w:r>
      <w:r w:rsidR="00BB76D8">
        <w:rPr>
          <w:sz w:val="20"/>
          <w:lang w:val="en-US"/>
        </w:rPr>
        <w:t>observation</w:t>
      </w:r>
      <w:r w:rsidR="007F103C">
        <w:rPr>
          <w:sz w:val="20"/>
          <w:lang w:val="en-US"/>
        </w:rPr>
        <w:t xml:space="preserve"> and </w:t>
      </w:r>
      <w:r w:rsidR="003F12D0">
        <w:rPr>
          <w:rFonts w:hint="eastAsia"/>
          <w:sz w:val="20"/>
          <w:lang w:val="en-US"/>
        </w:rPr>
        <w:t>proposal</w:t>
      </w:r>
      <w:r w:rsidR="008D6F8A">
        <w:rPr>
          <w:rFonts w:hint="eastAsia"/>
          <w:sz w:val="20"/>
          <w:lang w:val="en-US"/>
        </w:rPr>
        <w:t>s</w:t>
      </w:r>
      <w:r w:rsidR="003F12D0">
        <w:rPr>
          <w:rFonts w:hint="eastAsia"/>
          <w:sz w:val="20"/>
          <w:lang w:val="en-US"/>
        </w:rPr>
        <w:t xml:space="preserve"> </w:t>
      </w:r>
      <w:r w:rsidR="00A77DD4">
        <w:rPr>
          <w:rFonts w:hint="eastAsia"/>
          <w:sz w:val="20"/>
          <w:lang w:val="en-US"/>
        </w:rPr>
        <w:t>are derived</w:t>
      </w:r>
      <w:r w:rsidR="00784284">
        <w:rPr>
          <w:rFonts w:hint="eastAsia"/>
          <w:sz w:val="20"/>
          <w:lang w:val="en-US"/>
        </w:rPr>
        <w:t>:</w:t>
      </w:r>
    </w:p>
    <w:p w:rsidR="006E4B52" w:rsidRPr="00835C1E" w:rsidRDefault="006E4B52" w:rsidP="006E4B52">
      <w:pPr>
        <w:tabs>
          <w:tab w:val="left" w:pos="4200"/>
        </w:tabs>
        <w:spacing w:before="0" w:after="120"/>
        <w:jc w:val="left"/>
        <w:rPr>
          <w:b/>
          <w:sz w:val="20"/>
        </w:rPr>
      </w:pPr>
      <w:r>
        <w:rPr>
          <w:rFonts w:hint="eastAsia"/>
          <w:b/>
          <w:sz w:val="20"/>
        </w:rPr>
        <w:t xml:space="preserve">Observation 1: </w:t>
      </w:r>
      <w:r w:rsidRPr="003A1164">
        <w:rPr>
          <w:rFonts w:hint="eastAsia"/>
          <w:b/>
          <w:sz w:val="20"/>
        </w:rPr>
        <w:t xml:space="preserve">In terms of intra-band contiguous and non-contiguous CA, it should be noted that the minimum requirements only apply for non-simultaneous </w:t>
      </w:r>
      <w:proofErr w:type="spellStart"/>
      <w:proofErr w:type="gramStart"/>
      <w:r w:rsidRPr="003A1164">
        <w:rPr>
          <w:rFonts w:hint="eastAsia"/>
          <w:b/>
          <w:sz w:val="20"/>
        </w:rPr>
        <w:t>Tx</w:t>
      </w:r>
      <w:proofErr w:type="spellEnd"/>
      <w:proofErr w:type="gramEnd"/>
      <w:r w:rsidRPr="003A1164">
        <w:rPr>
          <w:rFonts w:hint="eastAsia"/>
          <w:b/>
          <w:sz w:val="20"/>
        </w:rPr>
        <w:t>/ Rx between all carrier for TDD combinations.</w:t>
      </w:r>
      <w:r>
        <w:rPr>
          <w:rFonts w:hint="eastAsia"/>
          <w:b/>
          <w:sz w:val="20"/>
        </w:rPr>
        <w:t xml:space="preserve"> </w:t>
      </w:r>
      <w:r w:rsidRPr="004C7819">
        <w:rPr>
          <w:rFonts w:hint="eastAsia"/>
          <w:b/>
          <w:sz w:val="20"/>
        </w:rPr>
        <w:t xml:space="preserve">In other words, frequency separation is not taken into account from standard standpoint to protect Rx reception from </w:t>
      </w:r>
      <w:proofErr w:type="spellStart"/>
      <w:proofErr w:type="gramStart"/>
      <w:r w:rsidRPr="004C7819">
        <w:rPr>
          <w:rFonts w:hint="eastAsia"/>
          <w:b/>
          <w:sz w:val="20"/>
        </w:rPr>
        <w:t>Tx</w:t>
      </w:r>
      <w:proofErr w:type="spellEnd"/>
      <w:proofErr w:type="gramEnd"/>
      <w:r w:rsidRPr="004C7819">
        <w:rPr>
          <w:rFonts w:hint="eastAsia"/>
          <w:b/>
          <w:sz w:val="20"/>
        </w:rPr>
        <w:t xml:space="preserve"> transmission for intra-band CA.</w:t>
      </w:r>
    </w:p>
    <w:p w:rsidR="00763DDB" w:rsidRDefault="00763DDB" w:rsidP="00763DDB">
      <w:pPr>
        <w:spacing w:before="0" w:after="120"/>
        <w:jc w:val="left"/>
        <w:rPr>
          <w:b/>
          <w:sz w:val="20"/>
        </w:rPr>
      </w:pPr>
      <w:r w:rsidRPr="00835C1E">
        <w:rPr>
          <w:rFonts w:hint="eastAsia"/>
          <w:b/>
          <w:sz w:val="20"/>
        </w:rPr>
        <w:t>Proposal 1:</w:t>
      </w:r>
      <w:r>
        <w:rPr>
          <w:rFonts w:hint="eastAsia"/>
          <w:b/>
          <w:sz w:val="20"/>
        </w:rPr>
        <w:t xml:space="preserve"> Not allow simultaneous UL </w:t>
      </w:r>
      <w:proofErr w:type="spellStart"/>
      <w:proofErr w:type="gramStart"/>
      <w:r>
        <w:rPr>
          <w:rFonts w:hint="eastAsia"/>
          <w:b/>
          <w:sz w:val="20"/>
        </w:rPr>
        <w:t>Tx</w:t>
      </w:r>
      <w:proofErr w:type="spellEnd"/>
      <w:proofErr w:type="gramEnd"/>
      <w:r>
        <w:rPr>
          <w:rFonts w:hint="eastAsia"/>
          <w:b/>
          <w:sz w:val="20"/>
        </w:rPr>
        <w:t xml:space="preserve"> and SL Rx for non-contiguous V2X intra-band con-current operation like contiguous case.  </w:t>
      </w:r>
    </w:p>
    <w:p w:rsidR="00763DDB" w:rsidRPr="00763DDB" w:rsidRDefault="00763DDB" w:rsidP="00E345EC">
      <w:pPr>
        <w:spacing w:before="0" w:after="120"/>
        <w:jc w:val="left"/>
        <w:rPr>
          <w:b/>
          <w:sz w:val="20"/>
        </w:rPr>
      </w:pPr>
      <w:r w:rsidRPr="00135297">
        <w:rPr>
          <w:rFonts w:hint="eastAsia"/>
          <w:b/>
          <w:sz w:val="20"/>
        </w:rPr>
        <w:t xml:space="preserve">Proposal 2: Send </w:t>
      </w:r>
      <w:r w:rsidRPr="00135297">
        <w:rPr>
          <w:b/>
          <w:sz w:val="20"/>
        </w:rPr>
        <w:t>LS</w:t>
      </w:r>
      <w:r w:rsidRPr="00135297">
        <w:rPr>
          <w:rFonts w:hint="eastAsia"/>
          <w:b/>
          <w:sz w:val="20"/>
        </w:rPr>
        <w:t xml:space="preserve"> to RAN1 to </w:t>
      </w:r>
      <w:r>
        <w:rPr>
          <w:rFonts w:hint="eastAsia"/>
          <w:b/>
          <w:sz w:val="20"/>
        </w:rPr>
        <w:t xml:space="preserve">indicate </w:t>
      </w:r>
      <w:r w:rsidRPr="00135297">
        <w:rPr>
          <w:rFonts w:hint="eastAsia"/>
          <w:b/>
          <w:sz w:val="20"/>
        </w:rPr>
        <w:t>RAN4 agreements w.r.t contiguous and non-contiguous V2X con-current operation</w:t>
      </w:r>
      <w:r>
        <w:rPr>
          <w:rFonts w:hint="eastAsia"/>
          <w:b/>
          <w:sz w:val="20"/>
        </w:rPr>
        <w:t xml:space="preserve"> within a licensed TDD band. </w:t>
      </w:r>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63FE4" w:rsidRPr="00FE5CAD" w:rsidRDefault="00FE5CAD" w:rsidP="00A16EBF">
      <w:pPr>
        <w:pStyle w:val="ab"/>
        <w:numPr>
          <w:ilvl w:val="0"/>
          <w:numId w:val="18"/>
        </w:numPr>
        <w:rPr>
          <w:sz w:val="20"/>
          <w:lang w:val="en-US"/>
        </w:rPr>
      </w:pPr>
      <w:r>
        <w:rPr>
          <w:sz w:val="20"/>
          <w:lang w:val="en-US"/>
        </w:rPr>
        <w:t>R4-2107868</w:t>
      </w:r>
      <w:r>
        <w:rPr>
          <w:rFonts w:hint="eastAsia"/>
          <w:sz w:val="20"/>
          <w:lang w:val="en-US"/>
        </w:rPr>
        <w:t xml:space="preserve">, </w:t>
      </w:r>
      <w:r w:rsidRPr="00FE5CAD">
        <w:rPr>
          <w:sz w:val="20"/>
          <w:lang w:val="en-US"/>
        </w:rPr>
        <w:t xml:space="preserve">WF on operating scenarios for SL and </w:t>
      </w:r>
      <w:proofErr w:type="spellStart"/>
      <w:r w:rsidRPr="00FE5CAD">
        <w:rPr>
          <w:sz w:val="20"/>
          <w:lang w:val="en-US"/>
        </w:rPr>
        <w:t>Uu</w:t>
      </w:r>
      <w:proofErr w:type="spellEnd"/>
      <w:r w:rsidRPr="00FE5CAD">
        <w:rPr>
          <w:sz w:val="20"/>
          <w:lang w:val="en-US"/>
        </w:rPr>
        <w:t xml:space="preserve"> operating in the same licensed band</w:t>
      </w:r>
      <w:r w:rsidR="00D63FE4">
        <w:rPr>
          <w:sz w:val="20"/>
          <w:lang w:val="en-US"/>
        </w:rPr>
        <w:t>,</w:t>
      </w:r>
      <w:r>
        <w:rPr>
          <w:sz w:val="20"/>
          <w:lang w:val="en-US"/>
        </w:rPr>
        <w:t xml:space="preserve"> </w:t>
      </w:r>
      <w:r>
        <w:rPr>
          <w:rFonts w:hint="eastAsia"/>
          <w:sz w:val="20"/>
          <w:lang w:val="en-US"/>
        </w:rPr>
        <w:t>CAT</w:t>
      </w:r>
      <w:r w:rsidR="00EC364C" w:rsidRPr="00D63FE4">
        <w:rPr>
          <w:sz w:val="20"/>
          <w:lang w:val="en-US"/>
        </w:rPr>
        <w:t>T</w:t>
      </w:r>
      <w:r w:rsidR="00D63FE4">
        <w:rPr>
          <w:rFonts w:hint="eastAsia"/>
          <w:sz w:val="20"/>
          <w:lang w:val="en-US"/>
        </w:rPr>
        <w:t>, RAN4#99-e</w:t>
      </w:r>
    </w:p>
    <w:sectPr w:rsidR="00D63FE4" w:rsidRPr="00FE5CA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F04" w:rsidRDefault="00C35F04" w:rsidP="0095591C">
      <w:pPr>
        <w:spacing w:after="60"/>
        <w:ind w:left="210"/>
      </w:pPr>
      <w:r>
        <w:separator/>
      </w:r>
    </w:p>
  </w:endnote>
  <w:endnote w:type="continuationSeparator" w:id="0">
    <w:p w:rsidR="00C35F04" w:rsidRDefault="00C35F0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427" w:rsidRDefault="000C142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A5781">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F04" w:rsidRDefault="00C35F04" w:rsidP="0095591C">
      <w:pPr>
        <w:spacing w:after="60"/>
        <w:ind w:left="210"/>
      </w:pPr>
      <w:r>
        <w:separator/>
      </w:r>
    </w:p>
  </w:footnote>
  <w:footnote w:type="continuationSeparator" w:id="0">
    <w:p w:rsidR="00C35F04" w:rsidRDefault="00C35F0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427" w:rsidRDefault="000C142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2A196A"/>
    <w:multiLevelType w:val="hybridMultilevel"/>
    <w:tmpl w:val="64AA41CC"/>
    <w:lvl w:ilvl="0" w:tplc="B97C620C">
      <w:start w:val="1"/>
      <w:numFmt w:val="bullet"/>
      <w:lvlText w:val="•"/>
      <w:lvlJc w:val="left"/>
      <w:pPr>
        <w:tabs>
          <w:tab w:val="num" w:pos="360"/>
        </w:tabs>
        <w:ind w:left="360" w:hanging="360"/>
      </w:pPr>
      <w:rPr>
        <w:rFonts w:ascii="Arial" w:hAnsi="Arial" w:hint="default"/>
      </w:rPr>
    </w:lvl>
    <w:lvl w:ilvl="1" w:tplc="E72E77B4">
      <w:start w:val="2546"/>
      <w:numFmt w:val="bullet"/>
      <w:lvlText w:val="–"/>
      <w:lvlJc w:val="left"/>
      <w:pPr>
        <w:tabs>
          <w:tab w:val="num" w:pos="1080"/>
        </w:tabs>
        <w:ind w:left="1080" w:hanging="360"/>
      </w:pPr>
      <w:rPr>
        <w:rFonts w:ascii="Arial" w:hAnsi="Arial" w:hint="default"/>
      </w:rPr>
    </w:lvl>
    <w:lvl w:ilvl="2" w:tplc="CAE2F3A0">
      <w:start w:val="1"/>
      <w:numFmt w:val="bullet"/>
      <w:lvlText w:val="•"/>
      <w:lvlJc w:val="left"/>
      <w:pPr>
        <w:tabs>
          <w:tab w:val="num" w:pos="1800"/>
        </w:tabs>
        <w:ind w:left="1800" w:hanging="360"/>
      </w:pPr>
      <w:rPr>
        <w:rFonts w:ascii="Arial" w:hAnsi="Arial" w:hint="default"/>
      </w:rPr>
    </w:lvl>
    <w:lvl w:ilvl="3" w:tplc="FA7E55BE" w:tentative="1">
      <w:start w:val="1"/>
      <w:numFmt w:val="bullet"/>
      <w:lvlText w:val="•"/>
      <w:lvlJc w:val="left"/>
      <w:pPr>
        <w:tabs>
          <w:tab w:val="num" w:pos="2520"/>
        </w:tabs>
        <w:ind w:left="2520" w:hanging="360"/>
      </w:pPr>
      <w:rPr>
        <w:rFonts w:ascii="Arial" w:hAnsi="Arial" w:hint="default"/>
      </w:rPr>
    </w:lvl>
    <w:lvl w:ilvl="4" w:tplc="DDDAA0FE" w:tentative="1">
      <w:start w:val="1"/>
      <w:numFmt w:val="bullet"/>
      <w:lvlText w:val="•"/>
      <w:lvlJc w:val="left"/>
      <w:pPr>
        <w:tabs>
          <w:tab w:val="num" w:pos="3240"/>
        </w:tabs>
        <w:ind w:left="3240" w:hanging="360"/>
      </w:pPr>
      <w:rPr>
        <w:rFonts w:ascii="Arial" w:hAnsi="Arial" w:hint="default"/>
      </w:rPr>
    </w:lvl>
    <w:lvl w:ilvl="5" w:tplc="B442EC76" w:tentative="1">
      <w:start w:val="1"/>
      <w:numFmt w:val="bullet"/>
      <w:lvlText w:val="•"/>
      <w:lvlJc w:val="left"/>
      <w:pPr>
        <w:tabs>
          <w:tab w:val="num" w:pos="3960"/>
        </w:tabs>
        <w:ind w:left="3960" w:hanging="360"/>
      </w:pPr>
      <w:rPr>
        <w:rFonts w:ascii="Arial" w:hAnsi="Arial" w:hint="default"/>
      </w:rPr>
    </w:lvl>
    <w:lvl w:ilvl="6" w:tplc="0EDA3E80" w:tentative="1">
      <w:start w:val="1"/>
      <w:numFmt w:val="bullet"/>
      <w:lvlText w:val="•"/>
      <w:lvlJc w:val="left"/>
      <w:pPr>
        <w:tabs>
          <w:tab w:val="num" w:pos="4680"/>
        </w:tabs>
        <w:ind w:left="4680" w:hanging="360"/>
      </w:pPr>
      <w:rPr>
        <w:rFonts w:ascii="Arial" w:hAnsi="Arial" w:hint="default"/>
      </w:rPr>
    </w:lvl>
    <w:lvl w:ilvl="7" w:tplc="08502C48" w:tentative="1">
      <w:start w:val="1"/>
      <w:numFmt w:val="bullet"/>
      <w:lvlText w:val="•"/>
      <w:lvlJc w:val="left"/>
      <w:pPr>
        <w:tabs>
          <w:tab w:val="num" w:pos="5400"/>
        </w:tabs>
        <w:ind w:left="5400" w:hanging="360"/>
      </w:pPr>
      <w:rPr>
        <w:rFonts w:ascii="Arial" w:hAnsi="Arial" w:hint="default"/>
      </w:rPr>
    </w:lvl>
    <w:lvl w:ilvl="8" w:tplc="40BAAF2E" w:tentative="1">
      <w:start w:val="1"/>
      <w:numFmt w:val="bullet"/>
      <w:lvlText w:val="•"/>
      <w:lvlJc w:val="left"/>
      <w:pPr>
        <w:tabs>
          <w:tab w:val="num" w:pos="6120"/>
        </w:tabs>
        <w:ind w:left="612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F080B41"/>
    <w:multiLevelType w:val="hybridMultilevel"/>
    <w:tmpl w:val="F362B8EA"/>
    <w:lvl w:ilvl="0" w:tplc="8D76664A">
      <w:start w:val="1"/>
      <w:numFmt w:val="bullet"/>
      <w:lvlText w:val="•"/>
      <w:lvlJc w:val="left"/>
      <w:pPr>
        <w:tabs>
          <w:tab w:val="num" w:pos="360"/>
        </w:tabs>
        <w:ind w:left="360" w:hanging="360"/>
      </w:pPr>
      <w:rPr>
        <w:rFonts w:ascii="Arial" w:hAnsi="Arial" w:hint="default"/>
      </w:rPr>
    </w:lvl>
    <w:lvl w:ilvl="1" w:tplc="ABB0325E">
      <w:start w:val="6784"/>
      <w:numFmt w:val="bullet"/>
      <w:lvlText w:val="–"/>
      <w:lvlJc w:val="left"/>
      <w:pPr>
        <w:tabs>
          <w:tab w:val="num" w:pos="1080"/>
        </w:tabs>
        <w:ind w:left="1080" w:hanging="360"/>
      </w:pPr>
      <w:rPr>
        <w:rFonts w:ascii="Arial" w:hAnsi="Arial" w:hint="default"/>
      </w:rPr>
    </w:lvl>
    <w:lvl w:ilvl="2" w:tplc="B0B21FF4">
      <w:start w:val="1"/>
      <w:numFmt w:val="bullet"/>
      <w:lvlText w:val="•"/>
      <w:lvlJc w:val="left"/>
      <w:pPr>
        <w:tabs>
          <w:tab w:val="num" w:pos="1800"/>
        </w:tabs>
        <w:ind w:left="1800" w:hanging="360"/>
      </w:pPr>
      <w:rPr>
        <w:rFonts w:ascii="Arial" w:hAnsi="Arial" w:hint="default"/>
      </w:rPr>
    </w:lvl>
    <w:lvl w:ilvl="3" w:tplc="530A29DA">
      <w:start w:val="1"/>
      <w:numFmt w:val="bullet"/>
      <w:lvlText w:val="•"/>
      <w:lvlJc w:val="left"/>
      <w:pPr>
        <w:tabs>
          <w:tab w:val="num" w:pos="2520"/>
        </w:tabs>
        <w:ind w:left="2520" w:hanging="360"/>
      </w:pPr>
      <w:rPr>
        <w:rFonts w:ascii="Arial" w:hAnsi="Arial" w:hint="default"/>
      </w:rPr>
    </w:lvl>
    <w:lvl w:ilvl="4" w:tplc="F38C0B44" w:tentative="1">
      <w:start w:val="1"/>
      <w:numFmt w:val="bullet"/>
      <w:lvlText w:val="•"/>
      <w:lvlJc w:val="left"/>
      <w:pPr>
        <w:tabs>
          <w:tab w:val="num" w:pos="3240"/>
        </w:tabs>
        <w:ind w:left="3240" w:hanging="360"/>
      </w:pPr>
      <w:rPr>
        <w:rFonts w:ascii="Arial" w:hAnsi="Arial" w:hint="default"/>
      </w:rPr>
    </w:lvl>
    <w:lvl w:ilvl="5" w:tplc="6C44FEEA" w:tentative="1">
      <w:start w:val="1"/>
      <w:numFmt w:val="bullet"/>
      <w:lvlText w:val="•"/>
      <w:lvlJc w:val="left"/>
      <w:pPr>
        <w:tabs>
          <w:tab w:val="num" w:pos="3960"/>
        </w:tabs>
        <w:ind w:left="3960" w:hanging="360"/>
      </w:pPr>
      <w:rPr>
        <w:rFonts w:ascii="Arial" w:hAnsi="Arial" w:hint="default"/>
      </w:rPr>
    </w:lvl>
    <w:lvl w:ilvl="6" w:tplc="0B2020D0" w:tentative="1">
      <w:start w:val="1"/>
      <w:numFmt w:val="bullet"/>
      <w:lvlText w:val="•"/>
      <w:lvlJc w:val="left"/>
      <w:pPr>
        <w:tabs>
          <w:tab w:val="num" w:pos="4680"/>
        </w:tabs>
        <w:ind w:left="4680" w:hanging="360"/>
      </w:pPr>
      <w:rPr>
        <w:rFonts w:ascii="Arial" w:hAnsi="Arial" w:hint="default"/>
      </w:rPr>
    </w:lvl>
    <w:lvl w:ilvl="7" w:tplc="41DC2B60" w:tentative="1">
      <w:start w:val="1"/>
      <w:numFmt w:val="bullet"/>
      <w:lvlText w:val="•"/>
      <w:lvlJc w:val="left"/>
      <w:pPr>
        <w:tabs>
          <w:tab w:val="num" w:pos="5400"/>
        </w:tabs>
        <w:ind w:left="5400" w:hanging="360"/>
      </w:pPr>
      <w:rPr>
        <w:rFonts w:ascii="Arial" w:hAnsi="Arial" w:hint="default"/>
      </w:rPr>
    </w:lvl>
    <w:lvl w:ilvl="8" w:tplc="504852AE" w:tentative="1">
      <w:start w:val="1"/>
      <w:numFmt w:val="bullet"/>
      <w:lvlText w:val="•"/>
      <w:lvlJc w:val="left"/>
      <w:pPr>
        <w:tabs>
          <w:tab w:val="num" w:pos="6120"/>
        </w:tabs>
        <w:ind w:left="6120" w:hanging="360"/>
      </w:pPr>
      <w:rPr>
        <w:rFonts w:ascii="Arial" w:hAnsi="Arial"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2"/>
  </w:num>
  <w:num w:numId="4">
    <w:abstractNumId w:val="11"/>
  </w:num>
  <w:num w:numId="5">
    <w:abstractNumId w:val="5"/>
  </w:num>
  <w:num w:numId="6">
    <w:abstractNumId w:val="17"/>
  </w:num>
  <w:num w:numId="7">
    <w:abstractNumId w:val="3"/>
  </w:num>
  <w:num w:numId="8">
    <w:abstractNumId w:val="12"/>
  </w:num>
  <w:num w:numId="9">
    <w:abstractNumId w:val="7"/>
  </w:num>
  <w:num w:numId="10">
    <w:abstractNumId w:val="16"/>
  </w:num>
  <w:num w:numId="11">
    <w:abstractNumId w:val="18"/>
  </w:num>
  <w:num w:numId="12">
    <w:abstractNumId w:val="19"/>
  </w:num>
  <w:num w:numId="13">
    <w:abstractNumId w:val="9"/>
  </w:num>
  <w:num w:numId="14">
    <w:abstractNumId w:val="10"/>
  </w:num>
  <w:num w:numId="15">
    <w:abstractNumId w:val="6"/>
  </w:num>
  <w:num w:numId="16">
    <w:abstractNumId w:val="15"/>
  </w:num>
  <w:num w:numId="17">
    <w:abstractNumId w:val="0"/>
  </w:num>
  <w:num w:numId="18">
    <w:abstractNumId w:val="8"/>
  </w:num>
  <w:num w:numId="19">
    <w:abstractNumId w:val="1"/>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07CD9"/>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0FD6"/>
    <w:rsid w:val="00031ADF"/>
    <w:rsid w:val="00031B87"/>
    <w:rsid w:val="00031D9B"/>
    <w:rsid w:val="00032156"/>
    <w:rsid w:val="00032220"/>
    <w:rsid w:val="000322C3"/>
    <w:rsid w:val="000333E3"/>
    <w:rsid w:val="00034C96"/>
    <w:rsid w:val="00034CE4"/>
    <w:rsid w:val="00035139"/>
    <w:rsid w:val="000358BD"/>
    <w:rsid w:val="00035AE3"/>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1E0A"/>
    <w:rsid w:val="00052A17"/>
    <w:rsid w:val="00052FD4"/>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1B6"/>
    <w:rsid w:val="00063CB7"/>
    <w:rsid w:val="00064AD2"/>
    <w:rsid w:val="00064BBF"/>
    <w:rsid w:val="000654EF"/>
    <w:rsid w:val="000669B1"/>
    <w:rsid w:val="00066F7E"/>
    <w:rsid w:val="00067C58"/>
    <w:rsid w:val="00070174"/>
    <w:rsid w:val="00070416"/>
    <w:rsid w:val="00071111"/>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7D2"/>
    <w:rsid w:val="00075C68"/>
    <w:rsid w:val="00075F36"/>
    <w:rsid w:val="000768C8"/>
    <w:rsid w:val="00076F3D"/>
    <w:rsid w:val="00077B17"/>
    <w:rsid w:val="00077EDB"/>
    <w:rsid w:val="00080509"/>
    <w:rsid w:val="00080EAA"/>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4BBF"/>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427"/>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149"/>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E7733"/>
    <w:rsid w:val="000F04CD"/>
    <w:rsid w:val="000F0AA9"/>
    <w:rsid w:val="000F0E0E"/>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3D30"/>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4D"/>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923"/>
    <w:rsid w:val="00133A7D"/>
    <w:rsid w:val="00133BEE"/>
    <w:rsid w:val="00133F99"/>
    <w:rsid w:val="0013443E"/>
    <w:rsid w:val="001346AD"/>
    <w:rsid w:val="00135297"/>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138"/>
    <w:rsid w:val="00143467"/>
    <w:rsid w:val="001437B8"/>
    <w:rsid w:val="00143968"/>
    <w:rsid w:val="0014507E"/>
    <w:rsid w:val="00145831"/>
    <w:rsid w:val="00145A7C"/>
    <w:rsid w:val="00145C19"/>
    <w:rsid w:val="001466A9"/>
    <w:rsid w:val="00147A83"/>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4F9"/>
    <w:rsid w:val="001638EA"/>
    <w:rsid w:val="00163DB5"/>
    <w:rsid w:val="001642BA"/>
    <w:rsid w:val="00164635"/>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8728B"/>
    <w:rsid w:val="001906E8"/>
    <w:rsid w:val="00190995"/>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9753C"/>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434"/>
    <w:rsid w:val="001B4690"/>
    <w:rsid w:val="001B493A"/>
    <w:rsid w:val="001B4B0F"/>
    <w:rsid w:val="001B5156"/>
    <w:rsid w:val="001B65B7"/>
    <w:rsid w:val="001B7169"/>
    <w:rsid w:val="001B71A8"/>
    <w:rsid w:val="001B7297"/>
    <w:rsid w:val="001B746B"/>
    <w:rsid w:val="001B7862"/>
    <w:rsid w:val="001C05A8"/>
    <w:rsid w:val="001C06AA"/>
    <w:rsid w:val="001C08A4"/>
    <w:rsid w:val="001C0FD1"/>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480"/>
    <w:rsid w:val="001D1B1E"/>
    <w:rsid w:val="001D1D1F"/>
    <w:rsid w:val="001D1F9C"/>
    <w:rsid w:val="001D2EA8"/>
    <w:rsid w:val="001D40F2"/>
    <w:rsid w:val="001D45D5"/>
    <w:rsid w:val="001D49AD"/>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B6D"/>
    <w:rsid w:val="001E6C0B"/>
    <w:rsid w:val="001E6CA5"/>
    <w:rsid w:val="001E6D07"/>
    <w:rsid w:val="001E6FBB"/>
    <w:rsid w:val="001E783E"/>
    <w:rsid w:val="001E7D31"/>
    <w:rsid w:val="001E7FA2"/>
    <w:rsid w:val="001F015F"/>
    <w:rsid w:val="001F0782"/>
    <w:rsid w:val="001F0ECB"/>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378"/>
    <w:rsid w:val="002175F1"/>
    <w:rsid w:val="00217E61"/>
    <w:rsid w:val="00220892"/>
    <w:rsid w:val="002208C7"/>
    <w:rsid w:val="00221759"/>
    <w:rsid w:val="00222EA5"/>
    <w:rsid w:val="002230F7"/>
    <w:rsid w:val="00224538"/>
    <w:rsid w:val="00224DCF"/>
    <w:rsid w:val="00225185"/>
    <w:rsid w:val="002252B4"/>
    <w:rsid w:val="00225716"/>
    <w:rsid w:val="00225A03"/>
    <w:rsid w:val="002260E9"/>
    <w:rsid w:val="002265F5"/>
    <w:rsid w:val="0022699C"/>
    <w:rsid w:val="00226CA1"/>
    <w:rsid w:val="00227453"/>
    <w:rsid w:val="0022787B"/>
    <w:rsid w:val="00227A4E"/>
    <w:rsid w:val="00230CEA"/>
    <w:rsid w:val="0023118A"/>
    <w:rsid w:val="002311E9"/>
    <w:rsid w:val="00231A6F"/>
    <w:rsid w:val="00232336"/>
    <w:rsid w:val="002323A9"/>
    <w:rsid w:val="002326B4"/>
    <w:rsid w:val="0023281F"/>
    <w:rsid w:val="00233029"/>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975"/>
    <w:rsid w:val="00244A65"/>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56B6E"/>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3AEF"/>
    <w:rsid w:val="002740E0"/>
    <w:rsid w:val="00275D66"/>
    <w:rsid w:val="00276AD5"/>
    <w:rsid w:val="00276AFC"/>
    <w:rsid w:val="00277607"/>
    <w:rsid w:val="00277809"/>
    <w:rsid w:val="002800A9"/>
    <w:rsid w:val="00280137"/>
    <w:rsid w:val="0028041A"/>
    <w:rsid w:val="00281149"/>
    <w:rsid w:val="00282A0D"/>
    <w:rsid w:val="002836DA"/>
    <w:rsid w:val="00283834"/>
    <w:rsid w:val="0028427E"/>
    <w:rsid w:val="002865FA"/>
    <w:rsid w:val="002870BD"/>
    <w:rsid w:val="002900B2"/>
    <w:rsid w:val="00290653"/>
    <w:rsid w:val="002911CD"/>
    <w:rsid w:val="002911D9"/>
    <w:rsid w:val="00291EEE"/>
    <w:rsid w:val="0029264F"/>
    <w:rsid w:val="002928FA"/>
    <w:rsid w:val="00292D36"/>
    <w:rsid w:val="0029369A"/>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04"/>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569"/>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0C5"/>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BFF"/>
    <w:rsid w:val="00315D1E"/>
    <w:rsid w:val="00316412"/>
    <w:rsid w:val="00316E2E"/>
    <w:rsid w:val="00317419"/>
    <w:rsid w:val="003174B8"/>
    <w:rsid w:val="0031784C"/>
    <w:rsid w:val="00317C4A"/>
    <w:rsid w:val="00317E1F"/>
    <w:rsid w:val="00320213"/>
    <w:rsid w:val="00320279"/>
    <w:rsid w:val="003202CD"/>
    <w:rsid w:val="003214F8"/>
    <w:rsid w:val="00321D0D"/>
    <w:rsid w:val="00322151"/>
    <w:rsid w:val="003223D4"/>
    <w:rsid w:val="003234C4"/>
    <w:rsid w:val="00323BFE"/>
    <w:rsid w:val="00323C7F"/>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78E"/>
    <w:rsid w:val="00333B38"/>
    <w:rsid w:val="00333B48"/>
    <w:rsid w:val="00333B91"/>
    <w:rsid w:val="003345D4"/>
    <w:rsid w:val="00334ABB"/>
    <w:rsid w:val="00334CCC"/>
    <w:rsid w:val="00334D80"/>
    <w:rsid w:val="003353A9"/>
    <w:rsid w:val="00335BAF"/>
    <w:rsid w:val="00337700"/>
    <w:rsid w:val="00341432"/>
    <w:rsid w:val="003434AB"/>
    <w:rsid w:val="0034365C"/>
    <w:rsid w:val="00343B9A"/>
    <w:rsid w:val="0034428A"/>
    <w:rsid w:val="003444CF"/>
    <w:rsid w:val="003449DA"/>
    <w:rsid w:val="003454F3"/>
    <w:rsid w:val="003465E0"/>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0B8"/>
    <w:rsid w:val="00357929"/>
    <w:rsid w:val="00357A13"/>
    <w:rsid w:val="00357B9D"/>
    <w:rsid w:val="00357D4A"/>
    <w:rsid w:val="00357E98"/>
    <w:rsid w:val="00360BD9"/>
    <w:rsid w:val="00360C10"/>
    <w:rsid w:val="00361305"/>
    <w:rsid w:val="003623EA"/>
    <w:rsid w:val="00362469"/>
    <w:rsid w:val="00363CFD"/>
    <w:rsid w:val="00363D20"/>
    <w:rsid w:val="00363E17"/>
    <w:rsid w:val="003641C1"/>
    <w:rsid w:val="00364937"/>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E7"/>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164"/>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25A"/>
    <w:rsid w:val="003D78AD"/>
    <w:rsid w:val="003D7BF7"/>
    <w:rsid w:val="003E1086"/>
    <w:rsid w:val="003E125F"/>
    <w:rsid w:val="003E1594"/>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CA4"/>
    <w:rsid w:val="003F5DF8"/>
    <w:rsid w:val="003F655B"/>
    <w:rsid w:val="003F6CD9"/>
    <w:rsid w:val="003F7107"/>
    <w:rsid w:val="0040036F"/>
    <w:rsid w:val="00400F53"/>
    <w:rsid w:val="00401212"/>
    <w:rsid w:val="00401700"/>
    <w:rsid w:val="00401C92"/>
    <w:rsid w:val="004029E3"/>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558"/>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3C4B"/>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B0E"/>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D6"/>
    <w:rsid w:val="00453C2C"/>
    <w:rsid w:val="0045401D"/>
    <w:rsid w:val="00454159"/>
    <w:rsid w:val="0045452E"/>
    <w:rsid w:val="004548D4"/>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978B1"/>
    <w:rsid w:val="004A0476"/>
    <w:rsid w:val="004A14B1"/>
    <w:rsid w:val="004A1B2A"/>
    <w:rsid w:val="004A1BE4"/>
    <w:rsid w:val="004A1C15"/>
    <w:rsid w:val="004A255D"/>
    <w:rsid w:val="004A2721"/>
    <w:rsid w:val="004A2A5A"/>
    <w:rsid w:val="004A2B08"/>
    <w:rsid w:val="004A349C"/>
    <w:rsid w:val="004A3DD1"/>
    <w:rsid w:val="004A40E0"/>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541"/>
    <w:rsid w:val="004B4C21"/>
    <w:rsid w:val="004B6120"/>
    <w:rsid w:val="004B655A"/>
    <w:rsid w:val="004B6DDA"/>
    <w:rsid w:val="004C00CD"/>
    <w:rsid w:val="004C045C"/>
    <w:rsid w:val="004C0C3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99"/>
    <w:rsid w:val="004C69A0"/>
    <w:rsid w:val="004C76EF"/>
    <w:rsid w:val="004C7819"/>
    <w:rsid w:val="004C785A"/>
    <w:rsid w:val="004D0753"/>
    <w:rsid w:val="004D0E14"/>
    <w:rsid w:val="004D152D"/>
    <w:rsid w:val="004D1CAC"/>
    <w:rsid w:val="004D1D9B"/>
    <w:rsid w:val="004D2299"/>
    <w:rsid w:val="004D26C5"/>
    <w:rsid w:val="004D2785"/>
    <w:rsid w:val="004D2D51"/>
    <w:rsid w:val="004D32FB"/>
    <w:rsid w:val="004D369A"/>
    <w:rsid w:val="004D374B"/>
    <w:rsid w:val="004D39E3"/>
    <w:rsid w:val="004D3AD1"/>
    <w:rsid w:val="004D3E32"/>
    <w:rsid w:val="004D3F3E"/>
    <w:rsid w:val="004D429A"/>
    <w:rsid w:val="004D4C3B"/>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9E2"/>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72F"/>
    <w:rsid w:val="005311E0"/>
    <w:rsid w:val="00531595"/>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AAE"/>
    <w:rsid w:val="00551E8C"/>
    <w:rsid w:val="005520A5"/>
    <w:rsid w:val="00552286"/>
    <w:rsid w:val="005525A0"/>
    <w:rsid w:val="0055264D"/>
    <w:rsid w:val="005526D6"/>
    <w:rsid w:val="00552ABF"/>
    <w:rsid w:val="005530D6"/>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273"/>
    <w:rsid w:val="0056469E"/>
    <w:rsid w:val="00564AE3"/>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99A"/>
    <w:rsid w:val="00580534"/>
    <w:rsid w:val="00580BB5"/>
    <w:rsid w:val="00580CF1"/>
    <w:rsid w:val="0058252C"/>
    <w:rsid w:val="005829C0"/>
    <w:rsid w:val="00582DAE"/>
    <w:rsid w:val="00582E60"/>
    <w:rsid w:val="00582E6D"/>
    <w:rsid w:val="00583062"/>
    <w:rsid w:val="005830F9"/>
    <w:rsid w:val="00584B40"/>
    <w:rsid w:val="00585BE7"/>
    <w:rsid w:val="00586471"/>
    <w:rsid w:val="0058665F"/>
    <w:rsid w:val="005870CE"/>
    <w:rsid w:val="0058715C"/>
    <w:rsid w:val="00587406"/>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5F95"/>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941"/>
    <w:rsid w:val="005B6DDC"/>
    <w:rsid w:val="005B734C"/>
    <w:rsid w:val="005C06F5"/>
    <w:rsid w:val="005C17EE"/>
    <w:rsid w:val="005C17F3"/>
    <w:rsid w:val="005C1EA4"/>
    <w:rsid w:val="005C1EE1"/>
    <w:rsid w:val="005C2365"/>
    <w:rsid w:val="005C3706"/>
    <w:rsid w:val="005C407E"/>
    <w:rsid w:val="005C4375"/>
    <w:rsid w:val="005C54A7"/>
    <w:rsid w:val="005C57AA"/>
    <w:rsid w:val="005C6118"/>
    <w:rsid w:val="005C6189"/>
    <w:rsid w:val="005C6256"/>
    <w:rsid w:val="005C630D"/>
    <w:rsid w:val="005C6514"/>
    <w:rsid w:val="005C6E34"/>
    <w:rsid w:val="005C7518"/>
    <w:rsid w:val="005D0D76"/>
    <w:rsid w:val="005D2023"/>
    <w:rsid w:val="005D2458"/>
    <w:rsid w:val="005D3132"/>
    <w:rsid w:val="005D3454"/>
    <w:rsid w:val="005D3843"/>
    <w:rsid w:val="005D3E0F"/>
    <w:rsid w:val="005D4523"/>
    <w:rsid w:val="005D58BE"/>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4FC"/>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259"/>
    <w:rsid w:val="006179F8"/>
    <w:rsid w:val="00617FC2"/>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02A"/>
    <w:rsid w:val="00632180"/>
    <w:rsid w:val="00632428"/>
    <w:rsid w:val="00632958"/>
    <w:rsid w:val="00632F0D"/>
    <w:rsid w:val="00633AC5"/>
    <w:rsid w:val="00634DAE"/>
    <w:rsid w:val="00635B8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C2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055E"/>
    <w:rsid w:val="00671564"/>
    <w:rsid w:val="00671837"/>
    <w:rsid w:val="006724F3"/>
    <w:rsid w:val="00672949"/>
    <w:rsid w:val="006733D6"/>
    <w:rsid w:val="00673E9A"/>
    <w:rsid w:val="00673E9E"/>
    <w:rsid w:val="0067447F"/>
    <w:rsid w:val="00674577"/>
    <w:rsid w:val="00674D16"/>
    <w:rsid w:val="00675549"/>
    <w:rsid w:val="006759AA"/>
    <w:rsid w:val="00676023"/>
    <w:rsid w:val="00677391"/>
    <w:rsid w:val="00677793"/>
    <w:rsid w:val="006803C5"/>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50A"/>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B3F"/>
    <w:rsid w:val="006A5D69"/>
    <w:rsid w:val="006A5E91"/>
    <w:rsid w:val="006A5F85"/>
    <w:rsid w:val="006A7113"/>
    <w:rsid w:val="006B0130"/>
    <w:rsid w:val="006B04EF"/>
    <w:rsid w:val="006B13BF"/>
    <w:rsid w:val="006B1718"/>
    <w:rsid w:val="006B36CB"/>
    <w:rsid w:val="006B3D1C"/>
    <w:rsid w:val="006B3FB6"/>
    <w:rsid w:val="006B42F1"/>
    <w:rsid w:val="006B4601"/>
    <w:rsid w:val="006B47E1"/>
    <w:rsid w:val="006B5099"/>
    <w:rsid w:val="006B5B51"/>
    <w:rsid w:val="006B6520"/>
    <w:rsid w:val="006B66CE"/>
    <w:rsid w:val="006B6B26"/>
    <w:rsid w:val="006B6D89"/>
    <w:rsid w:val="006B7DE3"/>
    <w:rsid w:val="006B7F11"/>
    <w:rsid w:val="006C021A"/>
    <w:rsid w:val="006C09EA"/>
    <w:rsid w:val="006C0D20"/>
    <w:rsid w:val="006C12BC"/>
    <w:rsid w:val="006C12D0"/>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51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741"/>
    <w:rsid w:val="006E1FDA"/>
    <w:rsid w:val="006E2B8F"/>
    <w:rsid w:val="006E3288"/>
    <w:rsid w:val="006E3EC4"/>
    <w:rsid w:val="006E3EC9"/>
    <w:rsid w:val="006E4013"/>
    <w:rsid w:val="006E4B52"/>
    <w:rsid w:val="006E582A"/>
    <w:rsid w:val="006E584A"/>
    <w:rsid w:val="006E5F16"/>
    <w:rsid w:val="006E6185"/>
    <w:rsid w:val="006E6AD4"/>
    <w:rsid w:val="006F034F"/>
    <w:rsid w:val="006F05EC"/>
    <w:rsid w:val="006F109D"/>
    <w:rsid w:val="006F185F"/>
    <w:rsid w:val="006F1D71"/>
    <w:rsid w:val="006F20F9"/>
    <w:rsid w:val="006F2A3A"/>
    <w:rsid w:val="006F2F9F"/>
    <w:rsid w:val="006F3492"/>
    <w:rsid w:val="006F356D"/>
    <w:rsid w:val="006F35BF"/>
    <w:rsid w:val="006F3CC0"/>
    <w:rsid w:val="006F43AF"/>
    <w:rsid w:val="006F53BB"/>
    <w:rsid w:val="006F5A72"/>
    <w:rsid w:val="006F624F"/>
    <w:rsid w:val="006F6E90"/>
    <w:rsid w:val="006F6F89"/>
    <w:rsid w:val="006F7346"/>
    <w:rsid w:val="006F7355"/>
    <w:rsid w:val="006F78ED"/>
    <w:rsid w:val="006F7D9D"/>
    <w:rsid w:val="007013B6"/>
    <w:rsid w:val="00701B01"/>
    <w:rsid w:val="007043FD"/>
    <w:rsid w:val="00704735"/>
    <w:rsid w:val="00704AA4"/>
    <w:rsid w:val="00704D95"/>
    <w:rsid w:val="0070574A"/>
    <w:rsid w:val="00705D5C"/>
    <w:rsid w:val="00705E9D"/>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AA"/>
    <w:rsid w:val="0073321A"/>
    <w:rsid w:val="00734982"/>
    <w:rsid w:val="00734A4C"/>
    <w:rsid w:val="00734E75"/>
    <w:rsid w:val="007350CD"/>
    <w:rsid w:val="00735C16"/>
    <w:rsid w:val="00736031"/>
    <w:rsid w:val="007362CE"/>
    <w:rsid w:val="007363FF"/>
    <w:rsid w:val="00736CE3"/>
    <w:rsid w:val="00737B90"/>
    <w:rsid w:val="00737DB6"/>
    <w:rsid w:val="00740736"/>
    <w:rsid w:val="00740EBD"/>
    <w:rsid w:val="00741636"/>
    <w:rsid w:val="00741E51"/>
    <w:rsid w:val="00741EDA"/>
    <w:rsid w:val="007423CF"/>
    <w:rsid w:val="00742647"/>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6"/>
    <w:rsid w:val="00761C7A"/>
    <w:rsid w:val="00761ECB"/>
    <w:rsid w:val="007623E1"/>
    <w:rsid w:val="00762444"/>
    <w:rsid w:val="00762488"/>
    <w:rsid w:val="007630AB"/>
    <w:rsid w:val="007638F2"/>
    <w:rsid w:val="00763DDB"/>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5CE6"/>
    <w:rsid w:val="007775C5"/>
    <w:rsid w:val="00777AFF"/>
    <w:rsid w:val="00777E28"/>
    <w:rsid w:val="007804AE"/>
    <w:rsid w:val="00780715"/>
    <w:rsid w:val="00780BF9"/>
    <w:rsid w:val="007811BB"/>
    <w:rsid w:val="0078142E"/>
    <w:rsid w:val="0078159C"/>
    <w:rsid w:val="007815F5"/>
    <w:rsid w:val="007818E4"/>
    <w:rsid w:val="00781BD0"/>
    <w:rsid w:val="00781CC8"/>
    <w:rsid w:val="007820E3"/>
    <w:rsid w:val="007821DA"/>
    <w:rsid w:val="007826BA"/>
    <w:rsid w:val="00782762"/>
    <w:rsid w:val="007830D3"/>
    <w:rsid w:val="007833CA"/>
    <w:rsid w:val="0078343F"/>
    <w:rsid w:val="00784284"/>
    <w:rsid w:val="007846CC"/>
    <w:rsid w:val="007859F9"/>
    <w:rsid w:val="00786662"/>
    <w:rsid w:val="007868EB"/>
    <w:rsid w:val="00786980"/>
    <w:rsid w:val="0078704D"/>
    <w:rsid w:val="0078772A"/>
    <w:rsid w:val="00787DFF"/>
    <w:rsid w:val="00791D0F"/>
    <w:rsid w:val="007932D7"/>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16EC"/>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6AEC"/>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5E71"/>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5C1E"/>
    <w:rsid w:val="00836074"/>
    <w:rsid w:val="00837418"/>
    <w:rsid w:val="0083779C"/>
    <w:rsid w:val="00837D42"/>
    <w:rsid w:val="00837F6E"/>
    <w:rsid w:val="00840418"/>
    <w:rsid w:val="008425AC"/>
    <w:rsid w:val="008425FC"/>
    <w:rsid w:val="008426A7"/>
    <w:rsid w:val="00842FBF"/>
    <w:rsid w:val="0084304E"/>
    <w:rsid w:val="0084338C"/>
    <w:rsid w:val="00843B48"/>
    <w:rsid w:val="00843EFC"/>
    <w:rsid w:val="008457A2"/>
    <w:rsid w:val="00845DE6"/>
    <w:rsid w:val="008462E2"/>
    <w:rsid w:val="008465D9"/>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56C08"/>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4E46"/>
    <w:rsid w:val="008753D1"/>
    <w:rsid w:val="008755FC"/>
    <w:rsid w:val="008757DD"/>
    <w:rsid w:val="00875807"/>
    <w:rsid w:val="008760A3"/>
    <w:rsid w:val="00876177"/>
    <w:rsid w:val="008763F9"/>
    <w:rsid w:val="00876682"/>
    <w:rsid w:val="00876F5F"/>
    <w:rsid w:val="00877442"/>
    <w:rsid w:val="00877538"/>
    <w:rsid w:val="008801FB"/>
    <w:rsid w:val="00881595"/>
    <w:rsid w:val="00881A33"/>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3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45B"/>
    <w:rsid w:val="008C28FA"/>
    <w:rsid w:val="008C2A67"/>
    <w:rsid w:val="008C2ACA"/>
    <w:rsid w:val="008C2DFB"/>
    <w:rsid w:val="008C335C"/>
    <w:rsid w:val="008C342B"/>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37B3"/>
    <w:rsid w:val="008D4222"/>
    <w:rsid w:val="008D4A03"/>
    <w:rsid w:val="008D4B10"/>
    <w:rsid w:val="008D4DD2"/>
    <w:rsid w:val="008D5287"/>
    <w:rsid w:val="008D558A"/>
    <w:rsid w:val="008D5E00"/>
    <w:rsid w:val="008D6D07"/>
    <w:rsid w:val="008D6F8A"/>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5B40"/>
    <w:rsid w:val="00926FC2"/>
    <w:rsid w:val="009270E7"/>
    <w:rsid w:val="0092797C"/>
    <w:rsid w:val="00927EDC"/>
    <w:rsid w:val="009306F5"/>
    <w:rsid w:val="00930765"/>
    <w:rsid w:val="00930C13"/>
    <w:rsid w:val="00930E9A"/>
    <w:rsid w:val="00930F17"/>
    <w:rsid w:val="00931AA1"/>
    <w:rsid w:val="00932916"/>
    <w:rsid w:val="00932A45"/>
    <w:rsid w:val="00932F63"/>
    <w:rsid w:val="009333D0"/>
    <w:rsid w:val="00933AAF"/>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4787"/>
    <w:rsid w:val="00996637"/>
    <w:rsid w:val="00997FCF"/>
    <w:rsid w:val="009A0113"/>
    <w:rsid w:val="009A08EE"/>
    <w:rsid w:val="009A1780"/>
    <w:rsid w:val="009A1B02"/>
    <w:rsid w:val="009A25A4"/>
    <w:rsid w:val="009A2C12"/>
    <w:rsid w:val="009A2F73"/>
    <w:rsid w:val="009A36D1"/>
    <w:rsid w:val="009A3C27"/>
    <w:rsid w:val="009A3E3A"/>
    <w:rsid w:val="009A3FFF"/>
    <w:rsid w:val="009A4065"/>
    <w:rsid w:val="009A4A66"/>
    <w:rsid w:val="009A55F8"/>
    <w:rsid w:val="009A6910"/>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DCC"/>
    <w:rsid w:val="009B5E34"/>
    <w:rsid w:val="009B6575"/>
    <w:rsid w:val="009B67E0"/>
    <w:rsid w:val="009B6E5D"/>
    <w:rsid w:val="009B724F"/>
    <w:rsid w:val="009B76D2"/>
    <w:rsid w:val="009B7A06"/>
    <w:rsid w:val="009C15E7"/>
    <w:rsid w:val="009C18F9"/>
    <w:rsid w:val="009C1C09"/>
    <w:rsid w:val="009C20E9"/>
    <w:rsid w:val="009C2E99"/>
    <w:rsid w:val="009C35AD"/>
    <w:rsid w:val="009C3F5A"/>
    <w:rsid w:val="009C3F92"/>
    <w:rsid w:val="009C4380"/>
    <w:rsid w:val="009C44B5"/>
    <w:rsid w:val="009C4975"/>
    <w:rsid w:val="009C4F76"/>
    <w:rsid w:val="009C59E4"/>
    <w:rsid w:val="009C6271"/>
    <w:rsid w:val="009D06A4"/>
    <w:rsid w:val="009D07FD"/>
    <w:rsid w:val="009D1106"/>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A0F"/>
    <w:rsid w:val="009F23E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44D"/>
    <w:rsid w:val="00A139A8"/>
    <w:rsid w:val="00A13B95"/>
    <w:rsid w:val="00A13BBC"/>
    <w:rsid w:val="00A13C4C"/>
    <w:rsid w:val="00A14FB1"/>
    <w:rsid w:val="00A16EBF"/>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C91"/>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9C"/>
    <w:rsid w:val="00A47BDC"/>
    <w:rsid w:val="00A51257"/>
    <w:rsid w:val="00A513B6"/>
    <w:rsid w:val="00A51929"/>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5F27"/>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5F87"/>
    <w:rsid w:val="00A661FF"/>
    <w:rsid w:val="00A66701"/>
    <w:rsid w:val="00A66F20"/>
    <w:rsid w:val="00A67844"/>
    <w:rsid w:val="00A707B5"/>
    <w:rsid w:val="00A71520"/>
    <w:rsid w:val="00A72439"/>
    <w:rsid w:val="00A7259E"/>
    <w:rsid w:val="00A72A9E"/>
    <w:rsid w:val="00A7326D"/>
    <w:rsid w:val="00A73808"/>
    <w:rsid w:val="00A73D44"/>
    <w:rsid w:val="00A73D94"/>
    <w:rsid w:val="00A74463"/>
    <w:rsid w:val="00A7457F"/>
    <w:rsid w:val="00A74C09"/>
    <w:rsid w:val="00A74C7D"/>
    <w:rsid w:val="00A755E7"/>
    <w:rsid w:val="00A7625B"/>
    <w:rsid w:val="00A76A55"/>
    <w:rsid w:val="00A7756D"/>
    <w:rsid w:val="00A77DD4"/>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95D"/>
    <w:rsid w:val="00A91B1C"/>
    <w:rsid w:val="00A92CD0"/>
    <w:rsid w:val="00A93086"/>
    <w:rsid w:val="00A93819"/>
    <w:rsid w:val="00A93961"/>
    <w:rsid w:val="00A93A34"/>
    <w:rsid w:val="00A94776"/>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781"/>
    <w:rsid w:val="00AA5E97"/>
    <w:rsid w:val="00AA5FB9"/>
    <w:rsid w:val="00AA63F0"/>
    <w:rsid w:val="00AA75B5"/>
    <w:rsid w:val="00AA765B"/>
    <w:rsid w:val="00AA7CC4"/>
    <w:rsid w:val="00AB0977"/>
    <w:rsid w:val="00AB0AAA"/>
    <w:rsid w:val="00AB28A3"/>
    <w:rsid w:val="00AB2A58"/>
    <w:rsid w:val="00AB2F0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9"/>
    <w:rsid w:val="00AF03DA"/>
    <w:rsid w:val="00AF100A"/>
    <w:rsid w:val="00AF12FB"/>
    <w:rsid w:val="00AF136C"/>
    <w:rsid w:val="00AF1F36"/>
    <w:rsid w:val="00AF277F"/>
    <w:rsid w:val="00AF2CE1"/>
    <w:rsid w:val="00AF31BD"/>
    <w:rsid w:val="00AF3ED2"/>
    <w:rsid w:val="00AF476A"/>
    <w:rsid w:val="00AF49BD"/>
    <w:rsid w:val="00AF4A8A"/>
    <w:rsid w:val="00AF5AC0"/>
    <w:rsid w:val="00AF5BBB"/>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AF0"/>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66C"/>
    <w:rsid w:val="00B3774D"/>
    <w:rsid w:val="00B37B2A"/>
    <w:rsid w:val="00B37DAC"/>
    <w:rsid w:val="00B37FBA"/>
    <w:rsid w:val="00B4008D"/>
    <w:rsid w:val="00B42686"/>
    <w:rsid w:val="00B43E5D"/>
    <w:rsid w:val="00B4489B"/>
    <w:rsid w:val="00B44C90"/>
    <w:rsid w:val="00B44FEE"/>
    <w:rsid w:val="00B45C65"/>
    <w:rsid w:val="00B4600D"/>
    <w:rsid w:val="00B47218"/>
    <w:rsid w:val="00B47329"/>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4A8"/>
    <w:rsid w:val="00B605B9"/>
    <w:rsid w:val="00B61AF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019"/>
    <w:rsid w:val="00B75BFD"/>
    <w:rsid w:val="00B76109"/>
    <w:rsid w:val="00B76A05"/>
    <w:rsid w:val="00B76DB4"/>
    <w:rsid w:val="00B7762E"/>
    <w:rsid w:val="00B80165"/>
    <w:rsid w:val="00B80240"/>
    <w:rsid w:val="00B80885"/>
    <w:rsid w:val="00B81E82"/>
    <w:rsid w:val="00B821E5"/>
    <w:rsid w:val="00B82A85"/>
    <w:rsid w:val="00B837F7"/>
    <w:rsid w:val="00B84500"/>
    <w:rsid w:val="00B8496A"/>
    <w:rsid w:val="00B84A40"/>
    <w:rsid w:val="00B854F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BA6"/>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0C3"/>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06D"/>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1A5A"/>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2D6"/>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04"/>
    <w:rsid w:val="00C35F34"/>
    <w:rsid w:val="00C37C2C"/>
    <w:rsid w:val="00C404ED"/>
    <w:rsid w:val="00C412E3"/>
    <w:rsid w:val="00C41714"/>
    <w:rsid w:val="00C41A4B"/>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E19"/>
    <w:rsid w:val="00C62E82"/>
    <w:rsid w:val="00C63479"/>
    <w:rsid w:val="00C63DA8"/>
    <w:rsid w:val="00C64FB9"/>
    <w:rsid w:val="00C65365"/>
    <w:rsid w:val="00C66FE5"/>
    <w:rsid w:val="00C67826"/>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0E97"/>
    <w:rsid w:val="00CB1641"/>
    <w:rsid w:val="00CB1AB5"/>
    <w:rsid w:val="00CB1B4E"/>
    <w:rsid w:val="00CB2410"/>
    <w:rsid w:val="00CB242B"/>
    <w:rsid w:val="00CB255C"/>
    <w:rsid w:val="00CB266B"/>
    <w:rsid w:val="00CB33D5"/>
    <w:rsid w:val="00CB3A65"/>
    <w:rsid w:val="00CB3DB9"/>
    <w:rsid w:val="00CB3FBA"/>
    <w:rsid w:val="00CB43FA"/>
    <w:rsid w:val="00CB5217"/>
    <w:rsid w:val="00CB61A4"/>
    <w:rsid w:val="00CB7F48"/>
    <w:rsid w:val="00CC0083"/>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ACF"/>
    <w:rsid w:val="00CE04D9"/>
    <w:rsid w:val="00CE147C"/>
    <w:rsid w:val="00CE1D29"/>
    <w:rsid w:val="00CE235F"/>
    <w:rsid w:val="00CE28FF"/>
    <w:rsid w:val="00CE310B"/>
    <w:rsid w:val="00CE3E48"/>
    <w:rsid w:val="00CE6F5C"/>
    <w:rsid w:val="00CE6FA4"/>
    <w:rsid w:val="00CE7A49"/>
    <w:rsid w:val="00CF0097"/>
    <w:rsid w:val="00CF0574"/>
    <w:rsid w:val="00CF0936"/>
    <w:rsid w:val="00CF12BC"/>
    <w:rsid w:val="00CF1870"/>
    <w:rsid w:val="00CF2815"/>
    <w:rsid w:val="00CF335C"/>
    <w:rsid w:val="00CF356C"/>
    <w:rsid w:val="00CF3AF1"/>
    <w:rsid w:val="00CF3F52"/>
    <w:rsid w:val="00CF4BCF"/>
    <w:rsid w:val="00CF53D8"/>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385"/>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7A"/>
    <w:rsid w:val="00D4638C"/>
    <w:rsid w:val="00D465C2"/>
    <w:rsid w:val="00D4688A"/>
    <w:rsid w:val="00D46A16"/>
    <w:rsid w:val="00D47694"/>
    <w:rsid w:val="00D479E9"/>
    <w:rsid w:val="00D47C4F"/>
    <w:rsid w:val="00D500FA"/>
    <w:rsid w:val="00D515DB"/>
    <w:rsid w:val="00D518CB"/>
    <w:rsid w:val="00D523E1"/>
    <w:rsid w:val="00D52FC7"/>
    <w:rsid w:val="00D536C2"/>
    <w:rsid w:val="00D544BF"/>
    <w:rsid w:val="00D55BDF"/>
    <w:rsid w:val="00D563D1"/>
    <w:rsid w:val="00D56C54"/>
    <w:rsid w:val="00D57585"/>
    <w:rsid w:val="00D57F7C"/>
    <w:rsid w:val="00D60185"/>
    <w:rsid w:val="00D6032B"/>
    <w:rsid w:val="00D6051A"/>
    <w:rsid w:val="00D607F9"/>
    <w:rsid w:val="00D60BFE"/>
    <w:rsid w:val="00D61A1B"/>
    <w:rsid w:val="00D61D34"/>
    <w:rsid w:val="00D62B20"/>
    <w:rsid w:val="00D63C2A"/>
    <w:rsid w:val="00D63FE4"/>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3C0"/>
    <w:rsid w:val="00D756FD"/>
    <w:rsid w:val="00D75DF5"/>
    <w:rsid w:val="00D766E4"/>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090"/>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83A"/>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507"/>
    <w:rsid w:val="00DD75BC"/>
    <w:rsid w:val="00DD76DF"/>
    <w:rsid w:val="00DD7E88"/>
    <w:rsid w:val="00DE027B"/>
    <w:rsid w:val="00DE0AE4"/>
    <w:rsid w:val="00DE0B8D"/>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0C0"/>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17DC4"/>
    <w:rsid w:val="00E2132A"/>
    <w:rsid w:val="00E2199D"/>
    <w:rsid w:val="00E224F8"/>
    <w:rsid w:val="00E22F7A"/>
    <w:rsid w:val="00E2314B"/>
    <w:rsid w:val="00E23515"/>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478B6"/>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0665"/>
    <w:rsid w:val="00E61F09"/>
    <w:rsid w:val="00E62411"/>
    <w:rsid w:val="00E62AA9"/>
    <w:rsid w:val="00E62AFB"/>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348"/>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64C"/>
    <w:rsid w:val="00EC37BD"/>
    <w:rsid w:val="00EC3C85"/>
    <w:rsid w:val="00EC3D0A"/>
    <w:rsid w:val="00EC439E"/>
    <w:rsid w:val="00EC48CB"/>
    <w:rsid w:val="00EC4CAA"/>
    <w:rsid w:val="00EC4E49"/>
    <w:rsid w:val="00EC5673"/>
    <w:rsid w:val="00EC5DF2"/>
    <w:rsid w:val="00EC5F7A"/>
    <w:rsid w:val="00EC621D"/>
    <w:rsid w:val="00EC6784"/>
    <w:rsid w:val="00EC67D8"/>
    <w:rsid w:val="00EC6A91"/>
    <w:rsid w:val="00EC6D69"/>
    <w:rsid w:val="00EC73FE"/>
    <w:rsid w:val="00ED01E8"/>
    <w:rsid w:val="00ED0B7D"/>
    <w:rsid w:val="00ED0D00"/>
    <w:rsid w:val="00ED1155"/>
    <w:rsid w:val="00ED17A7"/>
    <w:rsid w:val="00ED1F0C"/>
    <w:rsid w:val="00ED2217"/>
    <w:rsid w:val="00ED222A"/>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A07"/>
    <w:rsid w:val="00EF2DCF"/>
    <w:rsid w:val="00EF2EF9"/>
    <w:rsid w:val="00EF340E"/>
    <w:rsid w:val="00EF3C01"/>
    <w:rsid w:val="00EF3F6B"/>
    <w:rsid w:val="00EF4B22"/>
    <w:rsid w:val="00EF4B53"/>
    <w:rsid w:val="00EF55C7"/>
    <w:rsid w:val="00EF570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3567"/>
    <w:rsid w:val="00F04BC4"/>
    <w:rsid w:val="00F04C61"/>
    <w:rsid w:val="00F067AE"/>
    <w:rsid w:val="00F06801"/>
    <w:rsid w:val="00F07E1F"/>
    <w:rsid w:val="00F103AC"/>
    <w:rsid w:val="00F10765"/>
    <w:rsid w:val="00F1164B"/>
    <w:rsid w:val="00F11A99"/>
    <w:rsid w:val="00F13E0B"/>
    <w:rsid w:val="00F13EB9"/>
    <w:rsid w:val="00F14018"/>
    <w:rsid w:val="00F1425E"/>
    <w:rsid w:val="00F14447"/>
    <w:rsid w:val="00F14855"/>
    <w:rsid w:val="00F153D1"/>
    <w:rsid w:val="00F15655"/>
    <w:rsid w:val="00F15845"/>
    <w:rsid w:val="00F15941"/>
    <w:rsid w:val="00F166D9"/>
    <w:rsid w:val="00F16FD4"/>
    <w:rsid w:val="00F20FC4"/>
    <w:rsid w:val="00F218D1"/>
    <w:rsid w:val="00F2198F"/>
    <w:rsid w:val="00F21B1C"/>
    <w:rsid w:val="00F22103"/>
    <w:rsid w:val="00F223DC"/>
    <w:rsid w:val="00F22ADD"/>
    <w:rsid w:val="00F23271"/>
    <w:rsid w:val="00F23470"/>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3F7"/>
    <w:rsid w:val="00F41587"/>
    <w:rsid w:val="00F42661"/>
    <w:rsid w:val="00F43654"/>
    <w:rsid w:val="00F4398B"/>
    <w:rsid w:val="00F43FA1"/>
    <w:rsid w:val="00F4493F"/>
    <w:rsid w:val="00F456BE"/>
    <w:rsid w:val="00F45AB4"/>
    <w:rsid w:val="00F46351"/>
    <w:rsid w:val="00F46E71"/>
    <w:rsid w:val="00F4705B"/>
    <w:rsid w:val="00F47869"/>
    <w:rsid w:val="00F4787C"/>
    <w:rsid w:val="00F47BA1"/>
    <w:rsid w:val="00F47EDC"/>
    <w:rsid w:val="00F50676"/>
    <w:rsid w:val="00F510AF"/>
    <w:rsid w:val="00F51774"/>
    <w:rsid w:val="00F51F6B"/>
    <w:rsid w:val="00F52828"/>
    <w:rsid w:val="00F5375E"/>
    <w:rsid w:val="00F53849"/>
    <w:rsid w:val="00F539D1"/>
    <w:rsid w:val="00F54834"/>
    <w:rsid w:val="00F55103"/>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BFE"/>
    <w:rsid w:val="00F73BE0"/>
    <w:rsid w:val="00F73CB4"/>
    <w:rsid w:val="00F748A3"/>
    <w:rsid w:val="00F74DC6"/>
    <w:rsid w:val="00F74E7B"/>
    <w:rsid w:val="00F74FD5"/>
    <w:rsid w:val="00F755B3"/>
    <w:rsid w:val="00F75E56"/>
    <w:rsid w:val="00F77055"/>
    <w:rsid w:val="00F7714B"/>
    <w:rsid w:val="00F774AB"/>
    <w:rsid w:val="00F804BF"/>
    <w:rsid w:val="00F80A29"/>
    <w:rsid w:val="00F80B73"/>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713"/>
    <w:rsid w:val="00F92CAF"/>
    <w:rsid w:val="00F93775"/>
    <w:rsid w:val="00F93D3D"/>
    <w:rsid w:val="00F94096"/>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2605"/>
    <w:rsid w:val="00FE3163"/>
    <w:rsid w:val="00FE3AC7"/>
    <w:rsid w:val="00FE3CC0"/>
    <w:rsid w:val="00FE3F12"/>
    <w:rsid w:val="00FE40F7"/>
    <w:rsid w:val="00FE42E9"/>
    <w:rsid w:val="00FE445F"/>
    <w:rsid w:val="00FE4908"/>
    <w:rsid w:val="00FE4C11"/>
    <w:rsid w:val="00FE59DA"/>
    <w:rsid w:val="00FE5CAD"/>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97453537">
      <w:bodyDiv w:val="1"/>
      <w:marLeft w:val="0"/>
      <w:marRight w:val="0"/>
      <w:marTop w:val="0"/>
      <w:marBottom w:val="0"/>
      <w:divBdr>
        <w:top w:val="none" w:sz="0" w:space="0" w:color="auto"/>
        <w:left w:val="none" w:sz="0" w:space="0" w:color="auto"/>
        <w:bottom w:val="none" w:sz="0" w:space="0" w:color="auto"/>
        <w:right w:val="none" w:sz="0" w:space="0" w:color="auto"/>
      </w:divBdr>
      <w:divsChild>
        <w:div w:id="2028288781">
          <w:marLeft w:val="0"/>
          <w:marRight w:val="0"/>
          <w:marTop w:val="0"/>
          <w:marBottom w:val="0"/>
          <w:divBdr>
            <w:top w:val="none" w:sz="0" w:space="0" w:color="auto"/>
            <w:left w:val="none" w:sz="0" w:space="0" w:color="auto"/>
            <w:bottom w:val="none" w:sz="0" w:space="0" w:color="auto"/>
            <w:right w:val="none" w:sz="0" w:space="0" w:color="auto"/>
          </w:divBdr>
          <w:divsChild>
            <w:div w:id="2123457506">
              <w:marLeft w:val="0"/>
              <w:marRight w:val="0"/>
              <w:marTop w:val="0"/>
              <w:marBottom w:val="0"/>
              <w:divBdr>
                <w:top w:val="single" w:sz="6" w:space="0" w:color="DEDEDE"/>
                <w:left w:val="single" w:sz="6" w:space="0" w:color="DEDEDE"/>
                <w:bottom w:val="single" w:sz="6" w:space="0" w:color="DEDEDE"/>
                <w:right w:val="single" w:sz="6" w:space="0" w:color="DEDEDE"/>
              </w:divBdr>
              <w:divsChild>
                <w:div w:id="1139540271">
                  <w:marLeft w:val="0"/>
                  <w:marRight w:val="0"/>
                  <w:marTop w:val="0"/>
                  <w:marBottom w:val="0"/>
                  <w:divBdr>
                    <w:top w:val="none" w:sz="0" w:space="0" w:color="auto"/>
                    <w:left w:val="none" w:sz="0" w:space="0" w:color="auto"/>
                    <w:bottom w:val="none" w:sz="0" w:space="0" w:color="auto"/>
                    <w:right w:val="none" w:sz="0" w:space="0" w:color="auto"/>
                  </w:divBdr>
                  <w:divsChild>
                    <w:div w:id="128819549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08659496">
          <w:marLeft w:val="0"/>
          <w:marRight w:val="0"/>
          <w:marTop w:val="0"/>
          <w:marBottom w:val="0"/>
          <w:divBdr>
            <w:top w:val="none" w:sz="0" w:space="0" w:color="auto"/>
            <w:left w:val="none" w:sz="0" w:space="0" w:color="auto"/>
            <w:bottom w:val="none" w:sz="0" w:space="0" w:color="auto"/>
            <w:right w:val="none" w:sz="0" w:space="0" w:color="auto"/>
          </w:divBdr>
          <w:divsChild>
            <w:div w:id="1592157432">
              <w:marLeft w:val="0"/>
              <w:marRight w:val="0"/>
              <w:marTop w:val="0"/>
              <w:marBottom w:val="0"/>
              <w:divBdr>
                <w:top w:val="none" w:sz="0" w:space="0" w:color="auto"/>
                <w:left w:val="none" w:sz="0" w:space="0" w:color="auto"/>
                <w:bottom w:val="none" w:sz="0" w:space="0" w:color="auto"/>
                <w:right w:val="none" w:sz="0" w:space="0" w:color="auto"/>
              </w:divBdr>
              <w:divsChild>
                <w:div w:id="276986147">
                  <w:marLeft w:val="0"/>
                  <w:marRight w:val="0"/>
                  <w:marTop w:val="0"/>
                  <w:marBottom w:val="0"/>
                  <w:divBdr>
                    <w:top w:val="single" w:sz="6" w:space="8" w:color="EEEEEE"/>
                    <w:left w:val="none" w:sz="0" w:space="8" w:color="auto"/>
                    <w:bottom w:val="single" w:sz="6" w:space="8" w:color="EEEEEE"/>
                    <w:right w:val="single" w:sz="6" w:space="8" w:color="EEEEEE"/>
                  </w:divBdr>
                  <w:divsChild>
                    <w:div w:id="184840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8857221">
      <w:bodyDiv w:val="1"/>
      <w:marLeft w:val="0"/>
      <w:marRight w:val="0"/>
      <w:marTop w:val="0"/>
      <w:marBottom w:val="0"/>
      <w:divBdr>
        <w:top w:val="none" w:sz="0" w:space="0" w:color="auto"/>
        <w:left w:val="none" w:sz="0" w:space="0" w:color="auto"/>
        <w:bottom w:val="none" w:sz="0" w:space="0" w:color="auto"/>
        <w:right w:val="none" w:sz="0" w:space="0" w:color="auto"/>
      </w:divBdr>
      <w:divsChild>
        <w:div w:id="595602976">
          <w:marLeft w:val="547"/>
          <w:marRight w:val="0"/>
          <w:marTop w:val="115"/>
          <w:marBottom w:val="0"/>
          <w:divBdr>
            <w:top w:val="none" w:sz="0" w:space="0" w:color="auto"/>
            <w:left w:val="none" w:sz="0" w:space="0" w:color="auto"/>
            <w:bottom w:val="none" w:sz="0" w:space="0" w:color="auto"/>
            <w:right w:val="none" w:sz="0" w:space="0" w:color="auto"/>
          </w:divBdr>
        </w:div>
        <w:div w:id="396246687">
          <w:marLeft w:val="1166"/>
          <w:marRight w:val="0"/>
          <w:marTop w:val="96"/>
          <w:marBottom w:val="0"/>
          <w:divBdr>
            <w:top w:val="none" w:sz="0" w:space="0" w:color="auto"/>
            <w:left w:val="none" w:sz="0" w:space="0" w:color="auto"/>
            <w:bottom w:val="none" w:sz="0" w:space="0" w:color="auto"/>
            <w:right w:val="none" w:sz="0" w:space="0" w:color="auto"/>
          </w:divBdr>
        </w:div>
        <w:div w:id="2038039437">
          <w:marLeft w:val="1166"/>
          <w:marRight w:val="0"/>
          <w:marTop w:val="96"/>
          <w:marBottom w:val="0"/>
          <w:divBdr>
            <w:top w:val="none" w:sz="0" w:space="0" w:color="auto"/>
            <w:left w:val="none" w:sz="0" w:space="0" w:color="auto"/>
            <w:bottom w:val="none" w:sz="0" w:space="0" w:color="auto"/>
            <w:right w:val="none" w:sz="0" w:space="0" w:color="auto"/>
          </w:divBdr>
        </w:div>
        <w:div w:id="842162560">
          <w:marLeft w:val="547"/>
          <w:marRight w:val="0"/>
          <w:marTop w:val="115"/>
          <w:marBottom w:val="0"/>
          <w:divBdr>
            <w:top w:val="none" w:sz="0" w:space="0" w:color="auto"/>
            <w:left w:val="none" w:sz="0" w:space="0" w:color="auto"/>
            <w:bottom w:val="none" w:sz="0" w:space="0" w:color="auto"/>
            <w:right w:val="none" w:sz="0" w:space="0" w:color="auto"/>
          </w:divBdr>
        </w:div>
      </w:divsChild>
    </w:div>
    <w:div w:id="262808825">
      <w:bodyDiv w:val="1"/>
      <w:marLeft w:val="0"/>
      <w:marRight w:val="0"/>
      <w:marTop w:val="0"/>
      <w:marBottom w:val="0"/>
      <w:divBdr>
        <w:top w:val="none" w:sz="0" w:space="0" w:color="auto"/>
        <w:left w:val="none" w:sz="0" w:space="0" w:color="auto"/>
        <w:bottom w:val="none" w:sz="0" w:space="0" w:color="auto"/>
        <w:right w:val="none" w:sz="0" w:space="0" w:color="auto"/>
      </w:divBdr>
      <w:divsChild>
        <w:div w:id="1779326237">
          <w:marLeft w:val="360"/>
          <w:marRight w:val="0"/>
          <w:marTop w:val="200"/>
          <w:marBottom w:val="180"/>
          <w:divBdr>
            <w:top w:val="none" w:sz="0" w:space="0" w:color="auto"/>
            <w:left w:val="none" w:sz="0" w:space="0" w:color="auto"/>
            <w:bottom w:val="none" w:sz="0" w:space="0" w:color="auto"/>
            <w:right w:val="none" w:sz="0" w:space="0" w:color="auto"/>
          </w:divBdr>
        </w:div>
        <w:div w:id="843132253">
          <w:marLeft w:val="1080"/>
          <w:marRight w:val="0"/>
          <w:marTop w:val="100"/>
          <w:marBottom w:val="120"/>
          <w:divBdr>
            <w:top w:val="none" w:sz="0" w:space="0" w:color="auto"/>
            <w:left w:val="none" w:sz="0" w:space="0" w:color="auto"/>
            <w:bottom w:val="none" w:sz="0" w:space="0" w:color="auto"/>
            <w:right w:val="none" w:sz="0" w:space="0" w:color="auto"/>
          </w:divBdr>
        </w:div>
        <w:div w:id="133791504">
          <w:marLeft w:val="1800"/>
          <w:marRight w:val="0"/>
          <w:marTop w:val="100"/>
          <w:marBottom w:val="120"/>
          <w:divBdr>
            <w:top w:val="none" w:sz="0" w:space="0" w:color="auto"/>
            <w:left w:val="none" w:sz="0" w:space="0" w:color="auto"/>
            <w:bottom w:val="none" w:sz="0" w:space="0" w:color="auto"/>
            <w:right w:val="none" w:sz="0" w:space="0" w:color="auto"/>
          </w:divBdr>
        </w:div>
        <w:div w:id="445002753">
          <w:marLeft w:val="1080"/>
          <w:marRight w:val="0"/>
          <w:marTop w:val="100"/>
          <w:marBottom w:val="12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1081633377">
          <w:marLeft w:val="360"/>
          <w:marRight w:val="0"/>
          <w:marTop w:val="200"/>
          <w:marBottom w:val="18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450053730">
          <w:marLeft w:val="252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656149438">
          <w:marLeft w:val="360"/>
          <w:marRight w:val="0"/>
          <w:marTop w:val="200"/>
          <w:marBottom w:val="18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264769301">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318971469">
          <w:marLeft w:val="360"/>
          <w:marRight w:val="0"/>
          <w:marTop w:val="200"/>
          <w:marBottom w:val="18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583341282">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57231649">
      <w:bodyDiv w:val="1"/>
      <w:marLeft w:val="0"/>
      <w:marRight w:val="0"/>
      <w:marTop w:val="0"/>
      <w:marBottom w:val="0"/>
      <w:divBdr>
        <w:top w:val="none" w:sz="0" w:space="0" w:color="auto"/>
        <w:left w:val="none" w:sz="0" w:space="0" w:color="auto"/>
        <w:bottom w:val="none" w:sz="0" w:space="0" w:color="auto"/>
        <w:right w:val="none" w:sz="0" w:space="0" w:color="auto"/>
      </w:divBdr>
      <w:divsChild>
        <w:div w:id="1540891691">
          <w:marLeft w:val="360"/>
          <w:marRight w:val="0"/>
          <w:marTop w:val="200"/>
          <w:marBottom w:val="180"/>
          <w:divBdr>
            <w:top w:val="none" w:sz="0" w:space="0" w:color="auto"/>
            <w:left w:val="none" w:sz="0" w:space="0" w:color="auto"/>
            <w:bottom w:val="none" w:sz="0" w:space="0" w:color="auto"/>
            <w:right w:val="none" w:sz="0" w:space="0" w:color="auto"/>
          </w:divBdr>
        </w:div>
        <w:div w:id="1841697811">
          <w:marLeft w:val="1080"/>
          <w:marRight w:val="0"/>
          <w:marTop w:val="100"/>
          <w:marBottom w:val="120"/>
          <w:divBdr>
            <w:top w:val="none" w:sz="0" w:space="0" w:color="auto"/>
            <w:left w:val="none" w:sz="0" w:space="0" w:color="auto"/>
            <w:bottom w:val="none" w:sz="0" w:space="0" w:color="auto"/>
            <w:right w:val="none" w:sz="0" w:space="0" w:color="auto"/>
          </w:divBdr>
        </w:div>
      </w:divsChild>
    </w:div>
    <w:div w:id="908271342">
      <w:bodyDiv w:val="1"/>
      <w:marLeft w:val="0"/>
      <w:marRight w:val="0"/>
      <w:marTop w:val="0"/>
      <w:marBottom w:val="0"/>
      <w:divBdr>
        <w:top w:val="none" w:sz="0" w:space="0" w:color="auto"/>
        <w:left w:val="none" w:sz="0" w:space="0" w:color="auto"/>
        <w:bottom w:val="none" w:sz="0" w:space="0" w:color="auto"/>
        <w:right w:val="none" w:sz="0" w:space="0" w:color="auto"/>
      </w:divBdr>
      <w:divsChild>
        <w:div w:id="1308705825">
          <w:marLeft w:val="547"/>
          <w:marRight w:val="0"/>
          <w:marTop w:val="115"/>
          <w:marBottom w:val="0"/>
          <w:divBdr>
            <w:top w:val="none" w:sz="0" w:space="0" w:color="auto"/>
            <w:left w:val="none" w:sz="0" w:space="0" w:color="auto"/>
            <w:bottom w:val="none" w:sz="0" w:space="0" w:color="auto"/>
            <w:right w:val="none" w:sz="0" w:space="0" w:color="auto"/>
          </w:divBdr>
        </w:div>
        <w:div w:id="583536683">
          <w:marLeft w:val="1166"/>
          <w:marRight w:val="0"/>
          <w:marTop w:val="96"/>
          <w:marBottom w:val="0"/>
          <w:divBdr>
            <w:top w:val="none" w:sz="0" w:space="0" w:color="auto"/>
            <w:left w:val="none" w:sz="0" w:space="0" w:color="auto"/>
            <w:bottom w:val="none" w:sz="0" w:space="0" w:color="auto"/>
            <w:right w:val="none" w:sz="0" w:space="0" w:color="auto"/>
          </w:divBdr>
        </w:div>
        <w:div w:id="92209978">
          <w:marLeft w:val="1166"/>
          <w:marRight w:val="0"/>
          <w:marTop w:val="96"/>
          <w:marBottom w:val="0"/>
          <w:divBdr>
            <w:top w:val="none" w:sz="0" w:space="0" w:color="auto"/>
            <w:left w:val="none" w:sz="0" w:space="0" w:color="auto"/>
            <w:bottom w:val="none" w:sz="0" w:space="0" w:color="auto"/>
            <w:right w:val="none" w:sz="0" w:space="0" w:color="auto"/>
          </w:divBdr>
        </w:div>
        <w:div w:id="1534658782">
          <w:marLeft w:val="547"/>
          <w:marRight w:val="0"/>
          <w:marTop w:val="115"/>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1941907304">
          <w:marLeft w:val="360"/>
          <w:marRight w:val="0"/>
          <w:marTop w:val="200"/>
          <w:marBottom w:val="18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233779453">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6429">
      <w:bodyDiv w:val="1"/>
      <w:marLeft w:val="0"/>
      <w:marRight w:val="0"/>
      <w:marTop w:val="0"/>
      <w:marBottom w:val="0"/>
      <w:divBdr>
        <w:top w:val="none" w:sz="0" w:space="0" w:color="auto"/>
        <w:left w:val="none" w:sz="0" w:space="0" w:color="auto"/>
        <w:bottom w:val="none" w:sz="0" w:space="0" w:color="auto"/>
        <w:right w:val="none" w:sz="0" w:space="0" w:color="auto"/>
      </w:divBdr>
      <w:divsChild>
        <w:div w:id="1408917251">
          <w:marLeft w:val="360"/>
          <w:marRight w:val="0"/>
          <w:marTop w:val="200"/>
          <w:marBottom w:val="180"/>
          <w:divBdr>
            <w:top w:val="none" w:sz="0" w:space="0" w:color="auto"/>
            <w:left w:val="none" w:sz="0" w:space="0" w:color="auto"/>
            <w:bottom w:val="none" w:sz="0" w:space="0" w:color="auto"/>
            <w:right w:val="none" w:sz="0" w:space="0" w:color="auto"/>
          </w:divBdr>
        </w:div>
        <w:div w:id="1320843494">
          <w:marLeft w:val="1080"/>
          <w:marRight w:val="0"/>
          <w:marTop w:val="100"/>
          <w:marBottom w:val="12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2135368226">
          <w:marLeft w:val="360"/>
          <w:marRight w:val="0"/>
          <w:marTop w:val="200"/>
          <w:marBottom w:val="18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94787319">
          <w:marLeft w:val="360"/>
          <w:marRight w:val="0"/>
          <w:marTop w:val="200"/>
          <w:marBottom w:val="18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71625646">
      <w:bodyDiv w:val="1"/>
      <w:marLeft w:val="0"/>
      <w:marRight w:val="0"/>
      <w:marTop w:val="0"/>
      <w:marBottom w:val="0"/>
      <w:divBdr>
        <w:top w:val="none" w:sz="0" w:space="0" w:color="auto"/>
        <w:left w:val="none" w:sz="0" w:space="0" w:color="auto"/>
        <w:bottom w:val="none" w:sz="0" w:space="0" w:color="auto"/>
        <w:right w:val="none" w:sz="0" w:space="0" w:color="auto"/>
      </w:divBdr>
      <w:divsChild>
        <w:div w:id="544753195">
          <w:marLeft w:val="360"/>
          <w:marRight w:val="0"/>
          <w:marTop w:val="200"/>
          <w:marBottom w:val="180"/>
          <w:divBdr>
            <w:top w:val="none" w:sz="0" w:space="0" w:color="auto"/>
            <w:left w:val="none" w:sz="0" w:space="0" w:color="auto"/>
            <w:bottom w:val="none" w:sz="0" w:space="0" w:color="auto"/>
            <w:right w:val="none" w:sz="0" w:space="0" w:color="auto"/>
          </w:divBdr>
        </w:div>
        <w:div w:id="293146600">
          <w:marLeft w:val="1080"/>
          <w:marRight w:val="0"/>
          <w:marTop w:val="100"/>
          <w:marBottom w:val="12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3679121">
      <w:bodyDiv w:val="1"/>
      <w:marLeft w:val="0"/>
      <w:marRight w:val="0"/>
      <w:marTop w:val="0"/>
      <w:marBottom w:val="0"/>
      <w:divBdr>
        <w:top w:val="none" w:sz="0" w:space="0" w:color="auto"/>
        <w:left w:val="none" w:sz="0" w:space="0" w:color="auto"/>
        <w:bottom w:val="none" w:sz="0" w:space="0" w:color="auto"/>
        <w:right w:val="none" w:sz="0" w:space="0" w:color="auto"/>
      </w:divBdr>
    </w:div>
    <w:div w:id="1414087490">
      <w:bodyDiv w:val="1"/>
      <w:marLeft w:val="0"/>
      <w:marRight w:val="0"/>
      <w:marTop w:val="0"/>
      <w:marBottom w:val="0"/>
      <w:divBdr>
        <w:top w:val="none" w:sz="0" w:space="0" w:color="auto"/>
        <w:left w:val="none" w:sz="0" w:space="0" w:color="auto"/>
        <w:bottom w:val="none" w:sz="0" w:space="0" w:color="auto"/>
        <w:right w:val="none" w:sz="0" w:space="0" w:color="auto"/>
      </w:divBdr>
      <w:divsChild>
        <w:div w:id="1122961988">
          <w:marLeft w:val="360"/>
          <w:marRight w:val="0"/>
          <w:marTop w:val="200"/>
          <w:marBottom w:val="180"/>
          <w:divBdr>
            <w:top w:val="none" w:sz="0" w:space="0" w:color="auto"/>
            <w:left w:val="none" w:sz="0" w:space="0" w:color="auto"/>
            <w:bottom w:val="none" w:sz="0" w:space="0" w:color="auto"/>
            <w:right w:val="none" w:sz="0" w:space="0" w:color="auto"/>
          </w:divBdr>
        </w:div>
        <w:div w:id="1081178566">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9974623">
      <w:bodyDiv w:val="1"/>
      <w:marLeft w:val="0"/>
      <w:marRight w:val="0"/>
      <w:marTop w:val="0"/>
      <w:marBottom w:val="0"/>
      <w:divBdr>
        <w:top w:val="none" w:sz="0" w:space="0" w:color="auto"/>
        <w:left w:val="none" w:sz="0" w:space="0" w:color="auto"/>
        <w:bottom w:val="none" w:sz="0" w:space="0" w:color="auto"/>
        <w:right w:val="none" w:sz="0" w:space="0" w:color="auto"/>
      </w:divBdr>
      <w:divsChild>
        <w:div w:id="325859795">
          <w:marLeft w:val="360"/>
          <w:marRight w:val="0"/>
          <w:marTop w:val="200"/>
          <w:marBottom w:val="180"/>
          <w:divBdr>
            <w:top w:val="none" w:sz="0" w:space="0" w:color="auto"/>
            <w:left w:val="none" w:sz="0" w:space="0" w:color="auto"/>
            <w:bottom w:val="none" w:sz="0" w:space="0" w:color="auto"/>
            <w:right w:val="none" w:sz="0" w:space="0" w:color="auto"/>
          </w:divBdr>
        </w:div>
        <w:div w:id="1585799757">
          <w:marLeft w:val="1080"/>
          <w:marRight w:val="0"/>
          <w:marTop w:val="100"/>
          <w:marBottom w:val="120"/>
          <w:divBdr>
            <w:top w:val="none" w:sz="0" w:space="0" w:color="auto"/>
            <w:left w:val="none" w:sz="0" w:space="0" w:color="auto"/>
            <w:bottom w:val="none" w:sz="0" w:space="0" w:color="auto"/>
            <w:right w:val="none" w:sz="0" w:space="0" w:color="auto"/>
          </w:divBdr>
        </w:div>
        <w:div w:id="2055303863">
          <w:marLeft w:val="1080"/>
          <w:marRight w:val="0"/>
          <w:marTop w:val="100"/>
          <w:marBottom w:val="120"/>
          <w:divBdr>
            <w:top w:val="none" w:sz="0" w:space="0" w:color="auto"/>
            <w:left w:val="none" w:sz="0" w:space="0" w:color="auto"/>
            <w:bottom w:val="none" w:sz="0" w:space="0" w:color="auto"/>
            <w:right w:val="none" w:sz="0" w:space="0" w:color="auto"/>
          </w:divBdr>
        </w:div>
        <w:div w:id="1497377809">
          <w:marLeft w:val="1080"/>
          <w:marRight w:val="0"/>
          <w:marTop w:val="100"/>
          <w:marBottom w:val="120"/>
          <w:divBdr>
            <w:top w:val="none" w:sz="0" w:space="0" w:color="auto"/>
            <w:left w:val="none" w:sz="0" w:space="0" w:color="auto"/>
            <w:bottom w:val="none" w:sz="0" w:space="0" w:color="auto"/>
            <w:right w:val="none" w:sz="0" w:space="0" w:color="auto"/>
          </w:divBdr>
        </w:div>
        <w:div w:id="94177376">
          <w:marLeft w:val="360"/>
          <w:marRight w:val="0"/>
          <w:marTop w:val="200"/>
          <w:marBottom w:val="18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3071746">
      <w:bodyDiv w:val="1"/>
      <w:marLeft w:val="0"/>
      <w:marRight w:val="0"/>
      <w:marTop w:val="0"/>
      <w:marBottom w:val="0"/>
      <w:divBdr>
        <w:top w:val="none" w:sz="0" w:space="0" w:color="auto"/>
        <w:left w:val="none" w:sz="0" w:space="0" w:color="auto"/>
        <w:bottom w:val="none" w:sz="0" w:space="0" w:color="auto"/>
        <w:right w:val="none" w:sz="0" w:space="0" w:color="auto"/>
      </w:divBdr>
      <w:divsChild>
        <w:div w:id="1637947543">
          <w:marLeft w:val="360"/>
          <w:marRight w:val="0"/>
          <w:marTop w:val="200"/>
          <w:marBottom w:val="180"/>
          <w:divBdr>
            <w:top w:val="none" w:sz="0" w:space="0" w:color="auto"/>
            <w:left w:val="none" w:sz="0" w:space="0" w:color="auto"/>
            <w:bottom w:val="none" w:sz="0" w:space="0" w:color="auto"/>
            <w:right w:val="none" w:sz="0" w:space="0" w:color="auto"/>
          </w:divBdr>
        </w:div>
        <w:div w:id="1385981742">
          <w:marLeft w:val="1080"/>
          <w:marRight w:val="0"/>
          <w:marTop w:val="100"/>
          <w:marBottom w:val="12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1585803780">
          <w:marLeft w:val="360"/>
          <w:marRight w:val="0"/>
          <w:marTop w:val="200"/>
          <w:marBottom w:val="18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359940080">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sChild>
    </w:div>
    <w:div w:id="2088770917">
      <w:bodyDiv w:val="1"/>
      <w:marLeft w:val="0"/>
      <w:marRight w:val="0"/>
      <w:marTop w:val="0"/>
      <w:marBottom w:val="0"/>
      <w:divBdr>
        <w:top w:val="none" w:sz="0" w:space="0" w:color="auto"/>
        <w:left w:val="none" w:sz="0" w:space="0" w:color="auto"/>
        <w:bottom w:val="none" w:sz="0" w:space="0" w:color="auto"/>
        <w:right w:val="none" w:sz="0" w:space="0" w:color="auto"/>
      </w:divBdr>
      <w:divsChild>
        <w:div w:id="1083448642">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CCAD1-10C3-4AC4-AC56-13EEF630B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4374</TotalTime>
  <Pages>2</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6190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429</cp:revision>
  <cp:lastPrinted>2007-04-24T00:59:00Z</cp:lastPrinted>
  <dcterms:created xsi:type="dcterms:W3CDTF">2020-04-09T06:55:00Z</dcterms:created>
  <dcterms:modified xsi:type="dcterms:W3CDTF">2021-08-06T08:23:00Z</dcterms:modified>
</cp:coreProperties>
</file>